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bookmarkStart w:id="0" w:name="_GoBack"/>
      <w:bookmarkEnd w:id="0"/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74624" w:rsidRPr="00274624" w:rsidRDefault="00274624" w:rsidP="0027462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4624">
              <w:rPr>
                <w:rFonts w:ascii="Arial" w:hAnsi="Arial" w:cs="Arial"/>
                <w:b/>
              </w:rPr>
              <w:t>„Dostawa wraz z montażem wyposażenia obiektu szkolnego przy ul. Lawendowe Wzgórze w Gdańsku.”</w:t>
            </w:r>
          </w:p>
          <w:p w:rsidR="00D25CC1" w:rsidRPr="000362B1" w:rsidRDefault="00526D6B" w:rsidP="002746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274624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I/PNE/060</w:t>
            </w:r>
            <w:r w:rsidR="00526D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niniejszej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lub w której nałożone zostało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określonej liczby lat wymaganej w stosownym ogłoszeniu lub dokumentach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środków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 jest dostępna w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dokładne dane referencyjne dokumentacji):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528B" w:rsidRPr="0043528B" w:rsidRDefault="0043528B" w:rsidP="0043528B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:rsidR="0043528B" w:rsidRP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43528B" w:rsidRPr="004352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0C" w:rsidRDefault="0063340C" w:rsidP="00D25CC1">
      <w:pPr>
        <w:spacing w:after="0" w:line="240" w:lineRule="auto"/>
      </w:pPr>
      <w:r>
        <w:separator/>
      </w:r>
    </w:p>
  </w:endnote>
  <w:endnote w:type="continuationSeparator" w:id="0">
    <w:p w:rsidR="0063340C" w:rsidRDefault="0063340C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861E0B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0C" w:rsidRDefault="0063340C" w:rsidP="00D25CC1">
      <w:pPr>
        <w:spacing w:after="0" w:line="240" w:lineRule="auto"/>
      </w:pPr>
      <w:r>
        <w:separator/>
      </w:r>
    </w:p>
  </w:footnote>
  <w:footnote w:type="continuationSeparator" w:id="0">
    <w:p w:rsidR="0063340C" w:rsidRDefault="0063340C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274624">
      <w:rPr>
        <w:rStyle w:val="Nagweklubstopka"/>
      </w:rPr>
      <w:t>060</w:t>
    </w:r>
    <w:r w:rsidR="00526D6B">
      <w:rPr>
        <w:rStyle w:val="Nagweklubstopka"/>
      </w:rPr>
      <w:t>/2019</w:t>
    </w:r>
    <w:r>
      <w:rPr>
        <w:rStyle w:val="Nagweklubstopka"/>
      </w:rPr>
      <w:t>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D25CC1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362B1"/>
    <w:rsid w:val="002250B8"/>
    <w:rsid w:val="00274624"/>
    <w:rsid w:val="002C43D4"/>
    <w:rsid w:val="00345B56"/>
    <w:rsid w:val="003945FE"/>
    <w:rsid w:val="003C3FB3"/>
    <w:rsid w:val="00401CC1"/>
    <w:rsid w:val="0043528B"/>
    <w:rsid w:val="00460E8E"/>
    <w:rsid w:val="004B1036"/>
    <w:rsid w:val="00526D6B"/>
    <w:rsid w:val="0063340C"/>
    <w:rsid w:val="00673B45"/>
    <w:rsid w:val="007B2606"/>
    <w:rsid w:val="00861E0B"/>
    <w:rsid w:val="00A169E6"/>
    <w:rsid w:val="00A53FED"/>
    <w:rsid w:val="00B80C3E"/>
    <w:rsid w:val="00BF1C24"/>
    <w:rsid w:val="00D207B3"/>
    <w:rsid w:val="00D25CC1"/>
    <w:rsid w:val="00D70E54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4491</Words>
  <Characters>26948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19</cp:revision>
  <dcterms:created xsi:type="dcterms:W3CDTF">2018-05-30T08:24:00Z</dcterms:created>
  <dcterms:modified xsi:type="dcterms:W3CDTF">2019-03-25T06:17:00Z</dcterms:modified>
</cp:coreProperties>
</file>