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EA306" w14:textId="29AA7103" w:rsidR="00E91F0B" w:rsidRPr="00E91F0B" w:rsidRDefault="00E91F0B" w:rsidP="00E91F0B">
      <w:pPr>
        <w:pStyle w:val="Style3"/>
        <w:spacing w:line="240" w:lineRule="auto"/>
        <w:ind w:left="1701" w:hanging="1701"/>
        <w:jc w:val="both"/>
        <w:rPr>
          <w:rStyle w:val="FontStyle22"/>
          <w:rFonts w:ascii="Times New Roman" w:hAnsi="Times New Roman" w:cs="Times New Roman"/>
          <w:bCs w:val="0"/>
          <w:sz w:val="24"/>
          <w:szCs w:val="24"/>
        </w:rPr>
      </w:pPr>
      <w:r w:rsidRPr="00E91F0B">
        <w:rPr>
          <w:rStyle w:val="FontStyle22"/>
          <w:rFonts w:ascii="Times New Roman" w:hAnsi="Times New Roman" w:cs="Times New Roman"/>
          <w:sz w:val="24"/>
          <w:szCs w:val="24"/>
        </w:rPr>
        <w:t>D-02.0</w:t>
      </w:r>
      <w:r>
        <w:rPr>
          <w:rStyle w:val="FontStyle22"/>
          <w:rFonts w:ascii="Times New Roman" w:hAnsi="Times New Roman" w:cs="Times New Roman"/>
          <w:sz w:val="24"/>
          <w:szCs w:val="24"/>
        </w:rPr>
        <w:t>2</w:t>
      </w:r>
      <w:r w:rsidRPr="00E91F0B">
        <w:rPr>
          <w:rStyle w:val="FontStyle22"/>
          <w:rFonts w:ascii="Times New Roman" w:hAnsi="Times New Roman" w:cs="Times New Roman"/>
          <w:sz w:val="24"/>
          <w:szCs w:val="24"/>
        </w:rPr>
        <w:t>.01</w:t>
      </w:r>
      <w:r>
        <w:rPr>
          <w:rStyle w:val="FontStyle22"/>
          <w:rFonts w:ascii="Times New Roman" w:hAnsi="Times New Roman" w:cs="Times New Roman"/>
          <w:sz w:val="24"/>
          <w:szCs w:val="24"/>
        </w:rPr>
        <w:t>.WG</w:t>
      </w:r>
      <w:r w:rsidRPr="00E91F0B">
        <w:rPr>
          <w:rStyle w:val="FontStyle22"/>
          <w:rFonts w:ascii="Times New Roman" w:hAnsi="Times New Roman" w:cs="Times New Roman"/>
          <w:sz w:val="24"/>
          <w:szCs w:val="24"/>
        </w:rPr>
        <w:t xml:space="preserve">       WZMOCNIENIE WGŁĘBNE PODŁOŻA GRUNTOWEGO METODĄ </w:t>
      </w:r>
      <w:r>
        <w:rPr>
          <w:rStyle w:val="FontStyle22"/>
          <w:rFonts w:ascii="Times New Roman" w:hAnsi="Times New Roman" w:cs="Times New Roman"/>
          <w:sz w:val="24"/>
          <w:szCs w:val="24"/>
        </w:rPr>
        <w:t>WYMIANY GRUNTU</w:t>
      </w:r>
    </w:p>
    <w:p w14:paraId="180FB213" w14:textId="77777777" w:rsidR="0013199A" w:rsidRPr="00E91F0B" w:rsidRDefault="0013199A" w:rsidP="00C92701">
      <w:pPr>
        <w:ind w:firstLine="284"/>
        <w:jc w:val="center"/>
        <w:rPr>
          <w:b/>
          <w:noProof/>
        </w:rPr>
      </w:pPr>
    </w:p>
    <w:p w14:paraId="2D2F3C60" w14:textId="77777777" w:rsidR="00093C51" w:rsidRPr="00E91F0B" w:rsidRDefault="00093C51" w:rsidP="00C92701">
      <w:pPr>
        <w:ind w:firstLine="284"/>
        <w:jc w:val="center"/>
        <w:rPr>
          <w:b/>
        </w:rPr>
      </w:pPr>
    </w:p>
    <w:p w14:paraId="082BEE91" w14:textId="77777777" w:rsidR="00093C51" w:rsidRPr="00E91F0B" w:rsidRDefault="00093C51" w:rsidP="00C92701">
      <w:pPr>
        <w:ind w:firstLine="284"/>
        <w:jc w:val="center"/>
        <w:rPr>
          <w:b/>
        </w:rPr>
      </w:pPr>
    </w:p>
    <w:p w14:paraId="186BF34A" w14:textId="77777777" w:rsidR="00093C51" w:rsidRPr="00E91F0B" w:rsidRDefault="00093C51" w:rsidP="00204D28">
      <w:pPr>
        <w:numPr>
          <w:ilvl w:val="0"/>
          <w:numId w:val="4"/>
        </w:numPr>
        <w:ind w:left="0" w:firstLine="284"/>
        <w:jc w:val="both"/>
        <w:rPr>
          <w:b/>
          <w:bCs/>
        </w:rPr>
      </w:pPr>
      <w:bookmarkStart w:id="0" w:name="_Toc81820168"/>
      <w:r w:rsidRPr="00E91F0B">
        <w:rPr>
          <w:b/>
        </w:rPr>
        <w:t>Wstęp</w:t>
      </w:r>
    </w:p>
    <w:p w14:paraId="006123B8" w14:textId="77777777" w:rsidR="00093C51" w:rsidRPr="00E91F0B" w:rsidRDefault="00093C51" w:rsidP="00A9491C">
      <w:pPr>
        <w:ind w:firstLine="284"/>
        <w:jc w:val="both"/>
        <w:rPr>
          <w:b/>
          <w:bCs/>
        </w:rPr>
      </w:pPr>
    </w:p>
    <w:p w14:paraId="29A40869" w14:textId="77777777" w:rsidR="00093C51" w:rsidRPr="00E91F0B" w:rsidRDefault="00093C51" w:rsidP="00204D28">
      <w:pPr>
        <w:numPr>
          <w:ilvl w:val="1"/>
          <w:numId w:val="3"/>
        </w:numPr>
        <w:ind w:left="0" w:firstLine="284"/>
        <w:jc w:val="both"/>
        <w:rPr>
          <w:rFonts w:eastAsia="Arial Unicode MS"/>
        </w:rPr>
      </w:pPr>
      <w:r w:rsidRPr="00E91F0B">
        <w:t xml:space="preserve"> Przedmiot Specyfikacji Technicznej</w:t>
      </w:r>
    </w:p>
    <w:p w14:paraId="14E37153" w14:textId="77777777" w:rsidR="00093C51" w:rsidRPr="00E91F0B" w:rsidRDefault="00093C51" w:rsidP="00A9491C">
      <w:pPr>
        <w:ind w:firstLine="284"/>
        <w:jc w:val="both"/>
        <w:rPr>
          <w:rFonts w:eastAsia="Arial Unicode MS"/>
        </w:rPr>
      </w:pPr>
    </w:p>
    <w:p w14:paraId="51258361" w14:textId="504BB7FC" w:rsidR="00093C51" w:rsidRPr="00B3337E" w:rsidRDefault="00D41A81" w:rsidP="00E91F0B">
      <w:pPr>
        <w:autoSpaceDE w:val="0"/>
        <w:autoSpaceDN w:val="0"/>
        <w:adjustRightInd w:val="0"/>
        <w:ind w:firstLine="284"/>
        <w:jc w:val="both"/>
        <w:rPr>
          <w:rStyle w:val="FontStyle27"/>
          <w:sz w:val="24"/>
          <w:szCs w:val="24"/>
        </w:rPr>
      </w:pPr>
      <w:r w:rsidRPr="00B3337E">
        <w:rPr>
          <w:color w:val="000000"/>
        </w:rPr>
        <w:t xml:space="preserve">Przedmiotem niniejszej ST są wymagania dotyczące wykonanie i odbioru robót związanych ze wzmocnieniem podłoża gruntowego pod nasyp drogowy dla inwestycji wzmocnienia słabonośnego podłoża nasypów drogowych w ramach zadania: </w:t>
      </w:r>
      <w:r w:rsidR="00E91F0B" w:rsidRPr="00B3337E">
        <w:rPr>
          <w:rStyle w:val="FontStyle27"/>
          <w:sz w:val="24"/>
          <w:szCs w:val="24"/>
        </w:rPr>
        <w:t>Budowa ul. Nowej Portowej i ul. Nowe Kaczeńce w Gdańsku.</w:t>
      </w:r>
    </w:p>
    <w:p w14:paraId="03DE0C2D" w14:textId="77777777" w:rsidR="00E91F0B" w:rsidRPr="00E91F0B" w:rsidRDefault="00E91F0B" w:rsidP="00E91F0B">
      <w:pPr>
        <w:autoSpaceDE w:val="0"/>
        <w:autoSpaceDN w:val="0"/>
        <w:adjustRightInd w:val="0"/>
        <w:ind w:firstLine="284"/>
        <w:jc w:val="both"/>
        <w:rPr>
          <w:rFonts w:eastAsia="Arial Unicode MS"/>
          <w:color w:val="000000"/>
        </w:rPr>
      </w:pPr>
    </w:p>
    <w:p w14:paraId="272E0A43" w14:textId="77777777" w:rsidR="00093C51" w:rsidRPr="00E91F0B" w:rsidRDefault="00093C51" w:rsidP="00204D28">
      <w:pPr>
        <w:numPr>
          <w:ilvl w:val="1"/>
          <w:numId w:val="3"/>
        </w:numPr>
        <w:ind w:left="0" w:firstLine="284"/>
        <w:jc w:val="both"/>
        <w:rPr>
          <w:rFonts w:eastAsia="Arial Unicode MS"/>
          <w:color w:val="000000"/>
        </w:rPr>
      </w:pPr>
      <w:r w:rsidRPr="00E91F0B">
        <w:rPr>
          <w:color w:val="000000"/>
        </w:rPr>
        <w:t xml:space="preserve"> Zakres stosowania ST</w:t>
      </w:r>
    </w:p>
    <w:p w14:paraId="2C4C8701" w14:textId="77777777" w:rsidR="00093C51" w:rsidRPr="00E91F0B" w:rsidRDefault="00093C51" w:rsidP="00A9491C">
      <w:pPr>
        <w:ind w:firstLine="284"/>
        <w:jc w:val="both"/>
        <w:rPr>
          <w:rFonts w:eastAsia="Arial Unicode MS"/>
          <w:color w:val="000000"/>
        </w:rPr>
      </w:pPr>
    </w:p>
    <w:p w14:paraId="0EE402F7" w14:textId="77777777" w:rsidR="00093C51" w:rsidRPr="00E91F0B" w:rsidRDefault="00093C51" w:rsidP="00A9491C">
      <w:pPr>
        <w:ind w:firstLine="284"/>
        <w:jc w:val="both"/>
        <w:rPr>
          <w:color w:val="000000"/>
        </w:rPr>
      </w:pPr>
      <w:r w:rsidRPr="00E91F0B">
        <w:rPr>
          <w:color w:val="000000"/>
        </w:rPr>
        <w:t>Specyfikacja Techniczna jest stosowana jako dokument kontraktowy przy realizacji robót wymienionych w pkt. 1.1.</w:t>
      </w:r>
    </w:p>
    <w:p w14:paraId="5C5269C9" w14:textId="77777777" w:rsidR="00093C51" w:rsidRPr="00E91F0B" w:rsidRDefault="00093C51" w:rsidP="00A9491C">
      <w:pPr>
        <w:ind w:firstLine="284"/>
        <w:jc w:val="both"/>
        <w:rPr>
          <w:color w:val="000000"/>
        </w:rPr>
      </w:pPr>
    </w:p>
    <w:p w14:paraId="60B13CBA" w14:textId="77777777" w:rsidR="00093C51" w:rsidRPr="00E91F0B" w:rsidRDefault="00093C51" w:rsidP="00204D28">
      <w:pPr>
        <w:numPr>
          <w:ilvl w:val="1"/>
          <w:numId w:val="3"/>
        </w:numPr>
        <w:ind w:left="0" w:firstLine="284"/>
        <w:jc w:val="both"/>
        <w:rPr>
          <w:rFonts w:eastAsia="Arial Unicode MS"/>
          <w:color w:val="000000"/>
        </w:rPr>
      </w:pPr>
      <w:r w:rsidRPr="00E91F0B">
        <w:rPr>
          <w:color w:val="000000"/>
        </w:rPr>
        <w:t xml:space="preserve"> Zakres robót objętych ST</w:t>
      </w:r>
    </w:p>
    <w:p w14:paraId="0A739D51" w14:textId="77777777" w:rsidR="00093C51" w:rsidRPr="00E91F0B" w:rsidRDefault="00093C51" w:rsidP="00A9491C">
      <w:pPr>
        <w:ind w:firstLine="284"/>
        <w:jc w:val="both"/>
        <w:rPr>
          <w:rFonts w:eastAsia="Arial Unicode MS"/>
          <w:color w:val="000000"/>
        </w:rPr>
      </w:pPr>
    </w:p>
    <w:p w14:paraId="1066D591" w14:textId="77777777" w:rsidR="00093C51" w:rsidRPr="00E91F0B" w:rsidRDefault="002A1A93" w:rsidP="00A9491C">
      <w:pPr>
        <w:ind w:firstLine="284"/>
        <w:jc w:val="both"/>
        <w:rPr>
          <w:color w:val="000000"/>
        </w:rPr>
      </w:pPr>
      <w:r w:rsidRPr="00E91F0B">
        <w:rPr>
          <w:color w:val="000000"/>
        </w:rPr>
        <w:t>Ustalenia zawarte w niniejszej specyfikacji dotyczą zasad prowadzenia robót ziemnych w czasie przebudowy drogi i obejmują wykonanie wymiany gruntu</w:t>
      </w:r>
      <w:r w:rsidR="002906AD" w:rsidRPr="00E91F0B">
        <w:rPr>
          <w:color w:val="000000"/>
        </w:rPr>
        <w:t xml:space="preserve"> w dwóch wariantach: </w:t>
      </w:r>
    </w:p>
    <w:p w14:paraId="541BC470" w14:textId="77777777" w:rsidR="002906AD" w:rsidRPr="00E91F0B" w:rsidRDefault="002906AD" w:rsidP="00A9491C">
      <w:pPr>
        <w:ind w:firstLine="284"/>
        <w:jc w:val="both"/>
        <w:rPr>
          <w:color w:val="000000"/>
        </w:rPr>
      </w:pPr>
      <w:r w:rsidRPr="00E91F0B">
        <w:rPr>
          <w:color w:val="000000"/>
        </w:rPr>
        <w:t xml:space="preserve"> - wykonanie wymiany gruntu do głębokości 3,0 m p.p.t. bez konieczności użycia obudowy wykopu (ścianek szczelnych)</w:t>
      </w:r>
    </w:p>
    <w:p w14:paraId="484BCF55" w14:textId="77777777" w:rsidR="002906AD" w:rsidRPr="00E91F0B" w:rsidRDefault="002906AD" w:rsidP="00A9491C">
      <w:pPr>
        <w:ind w:firstLine="284"/>
        <w:jc w:val="both"/>
        <w:rPr>
          <w:color w:val="000000"/>
        </w:rPr>
      </w:pPr>
      <w:r w:rsidRPr="00E91F0B">
        <w:rPr>
          <w:color w:val="000000"/>
        </w:rPr>
        <w:t xml:space="preserve"> - wykonanie wymiany gruntu do głębokości przekraczającej 3,0 m p.p.t. z koniecznością użycia obudowy wykopu (ścianek szczelnych)</w:t>
      </w:r>
    </w:p>
    <w:p w14:paraId="1F5DD722" w14:textId="77777777" w:rsidR="00093C51" w:rsidRPr="00E91F0B" w:rsidRDefault="00093C51" w:rsidP="00A9491C">
      <w:pPr>
        <w:ind w:firstLine="284"/>
        <w:jc w:val="both"/>
        <w:rPr>
          <w:color w:val="000000"/>
        </w:rPr>
      </w:pPr>
    </w:p>
    <w:p w14:paraId="6E12F25D" w14:textId="77777777" w:rsidR="00093C51" w:rsidRPr="00E91F0B" w:rsidRDefault="00093C51" w:rsidP="00204D28">
      <w:pPr>
        <w:numPr>
          <w:ilvl w:val="1"/>
          <w:numId w:val="3"/>
        </w:numPr>
        <w:ind w:left="0" w:firstLine="284"/>
        <w:jc w:val="both"/>
        <w:rPr>
          <w:rFonts w:eastAsia="Arial Unicode MS"/>
          <w:color w:val="000000"/>
          <w:u w:val="single"/>
        </w:rPr>
      </w:pPr>
      <w:r w:rsidRPr="00E91F0B">
        <w:rPr>
          <w:color w:val="000000"/>
        </w:rPr>
        <w:t>Określenia podstawowe</w:t>
      </w:r>
    </w:p>
    <w:p w14:paraId="67E8D0C5" w14:textId="77777777" w:rsidR="00093C51" w:rsidRPr="00E91F0B" w:rsidRDefault="00093C51" w:rsidP="00A9491C">
      <w:pPr>
        <w:ind w:firstLine="284"/>
        <w:jc w:val="both"/>
        <w:rPr>
          <w:color w:val="000000"/>
        </w:rPr>
      </w:pPr>
    </w:p>
    <w:p w14:paraId="699E007D" w14:textId="0DA5BDBB" w:rsidR="00093C51" w:rsidRPr="00E91F0B" w:rsidRDefault="002A1A93" w:rsidP="002A1A93">
      <w:pPr>
        <w:ind w:firstLine="284"/>
        <w:jc w:val="both"/>
        <w:rPr>
          <w:color w:val="000000"/>
        </w:rPr>
      </w:pPr>
      <w:r w:rsidRPr="00E91F0B">
        <w:rPr>
          <w:color w:val="000000"/>
        </w:rPr>
        <w:t xml:space="preserve">Ustalenia zawarte w niniejszej specyfikacji dotyczą zasad prowadzenia robót ziemnych w ramach budowy </w:t>
      </w:r>
      <w:r w:rsidR="00E91F0B" w:rsidRPr="00E91F0B">
        <w:rPr>
          <w:color w:val="000000"/>
        </w:rPr>
        <w:t>ulicy Nowa Portowa i Nowe Kaczeńce w Gdańsku</w:t>
      </w:r>
      <w:r w:rsidRPr="00E91F0B">
        <w:rPr>
          <w:color w:val="000000"/>
        </w:rPr>
        <w:t xml:space="preserve"> i obejmują wykonanie wykopów w gruntach słabonośnych oraz zasypanie w/w wykopu materiałem przepuszczalnym.</w:t>
      </w:r>
    </w:p>
    <w:p w14:paraId="6D859CF7" w14:textId="77777777" w:rsidR="002A1A93" w:rsidRPr="00E91F0B" w:rsidRDefault="002A1A93" w:rsidP="002A1A93">
      <w:pPr>
        <w:ind w:firstLine="284"/>
        <w:jc w:val="both"/>
        <w:rPr>
          <w:color w:val="000000"/>
        </w:rPr>
      </w:pPr>
    </w:p>
    <w:p w14:paraId="39E39C9A" w14:textId="77777777" w:rsidR="002F77DE" w:rsidRPr="00E91F0B" w:rsidRDefault="002F77DE" w:rsidP="002F77DE">
      <w:pPr>
        <w:numPr>
          <w:ilvl w:val="2"/>
          <w:numId w:val="2"/>
        </w:numPr>
        <w:ind w:left="0" w:firstLine="284"/>
        <w:jc w:val="both"/>
        <w:rPr>
          <w:color w:val="000000"/>
        </w:rPr>
      </w:pPr>
      <w:r w:rsidRPr="00E91F0B">
        <w:rPr>
          <w:color w:val="000000"/>
        </w:rPr>
        <w:t>Projekt technologiczny</w:t>
      </w:r>
    </w:p>
    <w:p w14:paraId="6BFB96EF" w14:textId="77777777" w:rsidR="002F77DE" w:rsidRPr="00E91F0B" w:rsidRDefault="002F77DE" w:rsidP="002F77DE">
      <w:pPr>
        <w:ind w:firstLine="284"/>
        <w:jc w:val="both"/>
        <w:rPr>
          <w:color w:val="000000"/>
        </w:rPr>
      </w:pPr>
    </w:p>
    <w:p w14:paraId="2DDA4A9B" w14:textId="77777777" w:rsidR="002F77DE" w:rsidRPr="00E91F0B" w:rsidRDefault="002F77DE" w:rsidP="002F77DE">
      <w:pPr>
        <w:ind w:firstLine="284"/>
        <w:jc w:val="both"/>
        <w:rPr>
          <w:color w:val="000000"/>
        </w:rPr>
      </w:pPr>
      <w:r w:rsidRPr="00E91F0B">
        <w:rPr>
          <w:color w:val="000000"/>
        </w:rPr>
        <w:t>Opracowanie, które będzie zawierało szczegółowy opis metody</w:t>
      </w:r>
      <w:r w:rsidR="002A1A93" w:rsidRPr="00E91F0B">
        <w:rPr>
          <w:color w:val="000000"/>
        </w:rPr>
        <w:t xml:space="preserve"> wymiany gruntu. </w:t>
      </w:r>
      <w:r w:rsidRPr="00E91F0B">
        <w:rPr>
          <w:color w:val="000000"/>
        </w:rPr>
        <w:t>Projekt technologiczny podlega zatwierdzeniu przez Projektanta i Inżyniera.</w:t>
      </w:r>
      <w:r w:rsidR="002A1A93" w:rsidRPr="00E91F0B">
        <w:rPr>
          <w:color w:val="000000"/>
        </w:rPr>
        <w:t xml:space="preserve"> </w:t>
      </w:r>
    </w:p>
    <w:p w14:paraId="2A6CF8D9" w14:textId="77777777" w:rsidR="002A1A93" w:rsidRPr="00E91F0B" w:rsidRDefault="002A1A93" w:rsidP="002F77DE">
      <w:pPr>
        <w:ind w:firstLine="284"/>
        <w:jc w:val="both"/>
        <w:rPr>
          <w:color w:val="000000"/>
        </w:rPr>
      </w:pPr>
      <w:r w:rsidRPr="00E91F0B">
        <w:rPr>
          <w:color w:val="000000"/>
        </w:rPr>
        <w:t>Projekt technologiczny powinien zawierać: sposób prowadzenia prac wraz ze sposobem zagęszczenia gruntu dowiezionego do wykopu. W przypadku gdy wymiana będzie odbywała się do głębokości większej niż 3,0 m poniżej poziomu terenu – wymianę należy prowadzić w obudowie (np. w obudowie ze ścianek szczelnych).</w:t>
      </w:r>
    </w:p>
    <w:p w14:paraId="31935CD2" w14:textId="77777777" w:rsidR="00093C51" w:rsidRPr="00E91F0B" w:rsidRDefault="00093C51" w:rsidP="00A9491C">
      <w:pPr>
        <w:ind w:firstLine="284"/>
        <w:jc w:val="both"/>
        <w:rPr>
          <w:color w:val="000000"/>
        </w:rPr>
      </w:pPr>
    </w:p>
    <w:p w14:paraId="7D5CC2C5" w14:textId="77777777" w:rsidR="00093C51" w:rsidRPr="00E91F0B" w:rsidRDefault="00093C51" w:rsidP="002F77DE">
      <w:pPr>
        <w:numPr>
          <w:ilvl w:val="2"/>
          <w:numId w:val="2"/>
        </w:numPr>
        <w:ind w:left="0" w:firstLine="284"/>
        <w:jc w:val="both"/>
        <w:rPr>
          <w:color w:val="000000"/>
        </w:rPr>
      </w:pPr>
      <w:r w:rsidRPr="00E91F0B">
        <w:rPr>
          <w:color w:val="000000"/>
        </w:rPr>
        <w:t>Pozostałe określenia podstawowe są zgodne z obowiązującymi, odpowiednimi polskimi normami oraz z definicjami podanymi w ST D-M-00.00.00 „Wymagania ogólne” pkt. 1.4.</w:t>
      </w:r>
    </w:p>
    <w:p w14:paraId="6AA901A4" w14:textId="77777777" w:rsidR="00093C51" w:rsidRPr="00E91F0B" w:rsidRDefault="00093C51" w:rsidP="00A9491C">
      <w:pPr>
        <w:ind w:firstLine="284"/>
        <w:jc w:val="both"/>
        <w:rPr>
          <w:color w:val="000000"/>
        </w:rPr>
      </w:pPr>
    </w:p>
    <w:p w14:paraId="70B0D701" w14:textId="77777777" w:rsidR="00093C51" w:rsidRPr="00E91F0B" w:rsidRDefault="00093C51" w:rsidP="00A9491C">
      <w:pPr>
        <w:ind w:firstLine="284"/>
        <w:jc w:val="both"/>
        <w:rPr>
          <w:color w:val="000000"/>
        </w:rPr>
      </w:pPr>
    </w:p>
    <w:p w14:paraId="4B3526D1" w14:textId="77777777" w:rsidR="00093C51" w:rsidRPr="00E91F0B" w:rsidRDefault="00093C51" w:rsidP="00204D28">
      <w:pPr>
        <w:numPr>
          <w:ilvl w:val="1"/>
          <w:numId w:val="2"/>
        </w:numPr>
        <w:ind w:left="0" w:firstLine="284"/>
        <w:jc w:val="both"/>
        <w:rPr>
          <w:rFonts w:eastAsia="Arial Unicode MS"/>
          <w:color w:val="000000"/>
        </w:rPr>
      </w:pPr>
      <w:r w:rsidRPr="00E91F0B">
        <w:rPr>
          <w:color w:val="000000"/>
        </w:rPr>
        <w:lastRenderedPageBreak/>
        <w:t xml:space="preserve"> </w:t>
      </w:r>
      <w:r w:rsidR="002A1A93" w:rsidRPr="00E91F0B">
        <w:rPr>
          <w:color w:val="000000"/>
        </w:rPr>
        <w:t>Ogólne wymagania dotyczące robót</w:t>
      </w:r>
    </w:p>
    <w:p w14:paraId="511EF7AB" w14:textId="77777777" w:rsidR="00093C51" w:rsidRPr="00E91F0B" w:rsidRDefault="00093C51" w:rsidP="00A9491C">
      <w:pPr>
        <w:ind w:firstLine="284"/>
        <w:jc w:val="both"/>
        <w:rPr>
          <w:color w:val="000000"/>
        </w:rPr>
      </w:pPr>
    </w:p>
    <w:p w14:paraId="2C10297F" w14:textId="77777777" w:rsidR="00093C51" w:rsidRPr="00E91F0B" w:rsidRDefault="002A1A93" w:rsidP="00A9491C">
      <w:pPr>
        <w:ind w:firstLine="284"/>
        <w:jc w:val="both"/>
        <w:rPr>
          <w:color w:val="000000"/>
        </w:rPr>
      </w:pPr>
      <w:r w:rsidRPr="00E91F0B">
        <w:rPr>
          <w:color w:val="000000"/>
        </w:rPr>
        <w:t>Ogólne wymagania dotyczące robót podano w ST D-M-00.00.00 „Wymagania ogólne” pkt. 1.5</w:t>
      </w:r>
    </w:p>
    <w:p w14:paraId="0314C6D4" w14:textId="77777777" w:rsidR="00093C51" w:rsidRPr="00E91F0B" w:rsidRDefault="00093C51" w:rsidP="00A9491C">
      <w:pPr>
        <w:ind w:firstLine="284"/>
        <w:jc w:val="both"/>
        <w:rPr>
          <w:color w:val="000000"/>
        </w:rPr>
      </w:pPr>
    </w:p>
    <w:p w14:paraId="4F1C76C0" w14:textId="77777777" w:rsidR="00093C51" w:rsidRPr="00E91F0B" w:rsidRDefault="00093C51" w:rsidP="00204D28">
      <w:pPr>
        <w:numPr>
          <w:ilvl w:val="0"/>
          <w:numId w:val="3"/>
        </w:numPr>
        <w:ind w:left="0" w:firstLine="284"/>
        <w:jc w:val="both"/>
        <w:rPr>
          <w:b/>
          <w:bCs/>
          <w:color w:val="000000"/>
        </w:rPr>
      </w:pPr>
      <w:r w:rsidRPr="00E91F0B">
        <w:rPr>
          <w:b/>
          <w:color w:val="000000"/>
        </w:rPr>
        <w:t>Materiały</w:t>
      </w:r>
    </w:p>
    <w:p w14:paraId="12048563" w14:textId="77777777" w:rsidR="00093C51" w:rsidRPr="00E91F0B" w:rsidRDefault="00093C51" w:rsidP="00A9491C">
      <w:pPr>
        <w:ind w:firstLine="284"/>
        <w:jc w:val="both"/>
        <w:rPr>
          <w:color w:val="000000"/>
        </w:rPr>
      </w:pPr>
    </w:p>
    <w:p w14:paraId="527DE514" w14:textId="77777777" w:rsidR="00093C51" w:rsidRPr="00E91F0B" w:rsidRDefault="00093C51" w:rsidP="00204D28">
      <w:pPr>
        <w:numPr>
          <w:ilvl w:val="1"/>
          <w:numId w:val="3"/>
        </w:numPr>
        <w:ind w:left="0" w:firstLine="284"/>
        <w:jc w:val="both"/>
        <w:rPr>
          <w:rFonts w:eastAsia="Arial Unicode MS"/>
          <w:color w:val="000000"/>
        </w:rPr>
      </w:pPr>
      <w:r w:rsidRPr="00E91F0B">
        <w:rPr>
          <w:color w:val="000000"/>
        </w:rPr>
        <w:t xml:space="preserve"> Wymagania ogólne</w:t>
      </w:r>
    </w:p>
    <w:p w14:paraId="42CA205C" w14:textId="77777777" w:rsidR="00093C51" w:rsidRPr="00E91F0B" w:rsidRDefault="00093C51" w:rsidP="00A9491C">
      <w:pPr>
        <w:ind w:firstLine="284"/>
        <w:jc w:val="both"/>
        <w:rPr>
          <w:color w:val="000000"/>
        </w:rPr>
      </w:pPr>
    </w:p>
    <w:p w14:paraId="5F483912" w14:textId="77777777" w:rsidR="00093C51" w:rsidRPr="00E91F0B" w:rsidRDefault="00093C51" w:rsidP="00A9491C">
      <w:pPr>
        <w:ind w:firstLine="284"/>
        <w:jc w:val="both"/>
        <w:rPr>
          <w:color w:val="000000"/>
        </w:rPr>
      </w:pPr>
      <w:r w:rsidRPr="00E91F0B">
        <w:rPr>
          <w:color w:val="000000"/>
        </w:rPr>
        <w:t>Ogólne wymagania dotyczące materiałów, ich pozyskiwania i składowania podano</w:t>
      </w:r>
    </w:p>
    <w:p w14:paraId="70C24499" w14:textId="77777777" w:rsidR="00093C51" w:rsidRPr="00E91F0B" w:rsidRDefault="00093C51" w:rsidP="00A9491C">
      <w:pPr>
        <w:ind w:firstLine="284"/>
        <w:jc w:val="both"/>
        <w:rPr>
          <w:color w:val="000000"/>
        </w:rPr>
      </w:pPr>
      <w:r w:rsidRPr="00E91F0B">
        <w:rPr>
          <w:color w:val="000000"/>
        </w:rPr>
        <w:t>w D-M-00.00.00 „Wymagania ogólne”1, pkt. 2.</w:t>
      </w:r>
    </w:p>
    <w:p w14:paraId="67CE9259" w14:textId="77777777" w:rsidR="002A1A93" w:rsidRPr="00E91F0B" w:rsidRDefault="002A1A93" w:rsidP="00A9491C">
      <w:pPr>
        <w:ind w:firstLine="284"/>
        <w:jc w:val="both"/>
        <w:rPr>
          <w:color w:val="000000"/>
        </w:rPr>
      </w:pPr>
    </w:p>
    <w:p w14:paraId="7AD14867" w14:textId="77777777" w:rsidR="00093C51" w:rsidRPr="00E91F0B" w:rsidRDefault="00093C51" w:rsidP="00FC2FBE">
      <w:pPr>
        <w:numPr>
          <w:ilvl w:val="1"/>
          <w:numId w:val="16"/>
        </w:numPr>
        <w:ind w:firstLine="284"/>
        <w:jc w:val="both"/>
        <w:rPr>
          <w:color w:val="000000"/>
        </w:rPr>
      </w:pPr>
      <w:bookmarkStart w:id="1" w:name="_Toc81820175"/>
      <w:r w:rsidRPr="00E91F0B">
        <w:rPr>
          <w:color w:val="000000"/>
        </w:rPr>
        <w:t>. Grunt</w:t>
      </w:r>
      <w:bookmarkEnd w:id="1"/>
      <w:r w:rsidR="002A1A93" w:rsidRPr="00E91F0B">
        <w:rPr>
          <w:color w:val="000000"/>
        </w:rPr>
        <w:t>y i materiały do wy</w:t>
      </w:r>
      <w:r w:rsidR="002906AD" w:rsidRPr="00E91F0B">
        <w:rPr>
          <w:color w:val="000000"/>
        </w:rPr>
        <w:t>m</w:t>
      </w:r>
      <w:r w:rsidR="002A1A93" w:rsidRPr="00E91F0B">
        <w:rPr>
          <w:color w:val="000000"/>
        </w:rPr>
        <w:t>iany gruntu</w:t>
      </w:r>
    </w:p>
    <w:p w14:paraId="49D3A316" w14:textId="77777777" w:rsidR="002A1A93" w:rsidRPr="00E91F0B" w:rsidRDefault="002A1A93" w:rsidP="00227968">
      <w:pPr>
        <w:ind w:firstLine="284"/>
        <w:jc w:val="both"/>
        <w:rPr>
          <w:color w:val="000000"/>
        </w:rPr>
      </w:pPr>
    </w:p>
    <w:p w14:paraId="57244CA5" w14:textId="77777777" w:rsidR="002A1A93" w:rsidRPr="00E91F0B" w:rsidRDefault="002A1A93" w:rsidP="002A1A93">
      <w:pPr>
        <w:ind w:firstLine="284"/>
        <w:jc w:val="both"/>
        <w:rPr>
          <w:color w:val="000000"/>
        </w:rPr>
      </w:pPr>
      <w:r w:rsidRPr="00E91F0B">
        <w:rPr>
          <w:color w:val="000000"/>
        </w:rPr>
        <w:t xml:space="preserve">Grunty i materiały dopuszczone do budowy nasypów powinny spełniać wymagania </w:t>
      </w:r>
      <w:proofErr w:type="spellStart"/>
      <w:r w:rsidRPr="00E91F0B">
        <w:rPr>
          <w:color w:val="000000"/>
        </w:rPr>
        <w:t>okre-ślone</w:t>
      </w:r>
      <w:proofErr w:type="spellEnd"/>
      <w:r w:rsidRPr="00E91F0B">
        <w:rPr>
          <w:color w:val="000000"/>
        </w:rPr>
        <w:t xml:space="preserve"> w PN-S-02205.</w:t>
      </w:r>
    </w:p>
    <w:p w14:paraId="269D44FD" w14:textId="77777777" w:rsidR="002A1A93" w:rsidRPr="00E91F0B" w:rsidRDefault="002A1A93" w:rsidP="002A1A93">
      <w:pPr>
        <w:ind w:firstLine="284"/>
        <w:jc w:val="both"/>
        <w:rPr>
          <w:color w:val="000000"/>
        </w:rPr>
      </w:pPr>
      <w:r w:rsidRPr="00E91F0B">
        <w:rPr>
          <w:color w:val="000000"/>
        </w:rPr>
        <w:t>Grunty zalecane na wymianę gruntu to:</w:t>
      </w:r>
    </w:p>
    <w:p w14:paraId="7A6C58BA" w14:textId="77777777" w:rsidR="002A1A93" w:rsidRPr="00E91F0B" w:rsidRDefault="002A1A93" w:rsidP="002A1A93">
      <w:pPr>
        <w:ind w:firstLine="284"/>
        <w:jc w:val="both"/>
        <w:rPr>
          <w:color w:val="000000"/>
        </w:rPr>
      </w:pPr>
      <w:r w:rsidRPr="00E91F0B">
        <w:rPr>
          <w:color w:val="000000"/>
        </w:rPr>
        <w:t xml:space="preserve">- Piaski grubo i średnioziarniste. Grunty </w:t>
      </w:r>
      <w:proofErr w:type="spellStart"/>
      <w:r w:rsidRPr="00E91F0B">
        <w:rPr>
          <w:color w:val="000000"/>
        </w:rPr>
        <w:t>niewysadzinowe</w:t>
      </w:r>
      <w:proofErr w:type="spellEnd"/>
      <w:r w:rsidRPr="00E91F0B">
        <w:rPr>
          <w:color w:val="000000"/>
        </w:rPr>
        <w:t xml:space="preserve"> o wskaźniku wodoprzepuszczalności K</w:t>
      </w:r>
      <w:r w:rsidRPr="00E91F0B">
        <w:rPr>
          <w:color w:val="000000"/>
          <w:vertAlign w:val="subscript"/>
        </w:rPr>
        <w:t>10</w:t>
      </w:r>
      <w:r w:rsidRPr="00E91F0B">
        <w:rPr>
          <w:color w:val="000000"/>
        </w:rPr>
        <w:t xml:space="preserve"> ≥ 6 x 10</w:t>
      </w:r>
      <w:r w:rsidRPr="00E91F0B">
        <w:rPr>
          <w:color w:val="000000"/>
          <w:vertAlign w:val="superscript"/>
        </w:rPr>
        <w:t xml:space="preserve">-5 </w:t>
      </w:r>
      <w:r w:rsidRPr="00E91F0B">
        <w:rPr>
          <w:color w:val="000000"/>
        </w:rPr>
        <w:t>m/s i wskaźniku różnoziarnistości U ≥ 5.</w:t>
      </w:r>
    </w:p>
    <w:p w14:paraId="2994C7F7" w14:textId="77777777" w:rsidR="002A1A93" w:rsidRPr="00E91F0B" w:rsidRDefault="002A1A93" w:rsidP="00227968">
      <w:pPr>
        <w:ind w:firstLine="284"/>
        <w:jc w:val="both"/>
        <w:rPr>
          <w:color w:val="000000"/>
        </w:rPr>
      </w:pPr>
    </w:p>
    <w:p w14:paraId="4BC813E4" w14:textId="77777777" w:rsidR="00093C51" w:rsidRPr="00E91F0B" w:rsidRDefault="00093C51" w:rsidP="00A9491C">
      <w:pPr>
        <w:ind w:firstLine="284"/>
        <w:jc w:val="both"/>
        <w:rPr>
          <w:color w:val="000000"/>
        </w:rPr>
      </w:pPr>
    </w:p>
    <w:p w14:paraId="55AFDE67" w14:textId="77777777" w:rsidR="00093C51" w:rsidRPr="00E91F0B" w:rsidRDefault="00093C51" w:rsidP="002A1A93">
      <w:pPr>
        <w:numPr>
          <w:ilvl w:val="1"/>
          <w:numId w:val="16"/>
        </w:numPr>
        <w:ind w:firstLine="284"/>
        <w:jc w:val="both"/>
        <w:rPr>
          <w:rFonts w:eastAsia="Arial Unicode MS"/>
          <w:color w:val="000000"/>
          <w:u w:val="single"/>
        </w:rPr>
      </w:pPr>
      <w:r w:rsidRPr="00E91F0B">
        <w:rPr>
          <w:color w:val="000000"/>
        </w:rPr>
        <w:t xml:space="preserve"> </w:t>
      </w:r>
      <w:r w:rsidR="002A1A93" w:rsidRPr="00E91F0B">
        <w:rPr>
          <w:color w:val="000000"/>
        </w:rPr>
        <w:t>Zasady wykorzystanie gruntów</w:t>
      </w:r>
    </w:p>
    <w:p w14:paraId="56F407AF" w14:textId="77777777" w:rsidR="00093C51" w:rsidRPr="00E91F0B" w:rsidRDefault="00093C51" w:rsidP="00A9491C">
      <w:pPr>
        <w:ind w:firstLine="284"/>
        <w:jc w:val="both"/>
        <w:rPr>
          <w:color w:val="000000"/>
        </w:rPr>
      </w:pPr>
    </w:p>
    <w:p w14:paraId="6AD79E7C" w14:textId="77777777" w:rsidR="00093C51" w:rsidRPr="00E91F0B" w:rsidRDefault="002A1A93" w:rsidP="002A1A93">
      <w:pPr>
        <w:ind w:firstLine="284"/>
        <w:jc w:val="both"/>
        <w:rPr>
          <w:color w:val="000000"/>
        </w:rPr>
      </w:pPr>
      <w:r w:rsidRPr="00E91F0B">
        <w:rPr>
          <w:color w:val="000000"/>
        </w:rPr>
        <w:t>Grunty  uzyskane  przy  wykonywaniu  wykopu  w  celu  wymiany  gruntu  powinny  być zutylizowane przez Wykonawcę.</w:t>
      </w:r>
    </w:p>
    <w:p w14:paraId="6CE7FA0C" w14:textId="77777777" w:rsidR="002A1A93" w:rsidRPr="00E91F0B" w:rsidRDefault="002A1A93" w:rsidP="002A1A93">
      <w:pPr>
        <w:ind w:firstLine="284"/>
        <w:jc w:val="both"/>
        <w:rPr>
          <w:color w:val="000000"/>
        </w:rPr>
      </w:pPr>
    </w:p>
    <w:p w14:paraId="1A709A12" w14:textId="77777777" w:rsidR="00093C51" w:rsidRPr="00E91F0B" w:rsidRDefault="00093C51" w:rsidP="00A9491C">
      <w:pPr>
        <w:ind w:firstLine="284"/>
        <w:jc w:val="both"/>
        <w:rPr>
          <w:b/>
          <w:color w:val="000000"/>
        </w:rPr>
      </w:pPr>
    </w:p>
    <w:p w14:paraId="6CD353D1" w14:textId="77777777" w:rsidR="00093C51" w:rsidRPr="00E91F0B" w:rsidRDefault="00093C51" w:rsidP="002A1A93">
      <w:pPr>
        <w:numPr>
          <w:ilvl w:val="0"/>
          <w:numId w:val="3"/>
        </w:numPr>
        <w:ind w:left="0" w:firstLine="284"/>
        <w:jc w:val="both"/>
        <w:rPr>
          <w:b/>
          <w:color w:val="000000"/>
        </w:rPr>
      </w:pPr>
      <w:r w:rsidRPr="00E91F0B">
        <w:rPr>
          <w:b/>
          <w:color w:val="000000"/>
        </w:rPr>
        <w:t>Sprzęt</w:t>
      </w:r>
    </w:p>
    <w:p w14:paraId="02436A5F" w14:textId="77777777" w:rsidR="00093C51" w:rsidRPr="00E91F0B" w:rsidRDefault="00093C51" w:rsidP="00A9491C">
      <w:pPr>
        <w:ind w:firstLine="284"/>
        <w:jc w:val="both"/>
        <w:rPr>
          <w:color w:val="000000"/>
        </w:rPr>
      </w:pPr>
    </w:p>
    <w:p w14:paraId="6F547249" w14:textId="77777777" w:rsidR="002A1A93" w:rsidRPr="00E91F0B" w:rsidRDefault="002A1A93" w:rsidP="002A1A93">
      <w:pPr>
        <w:pStyle w:val="Akapitzlist"/>
        <w:numPr>
          <w:ilvl w:val="0"/>
          <w:numId w:val="17"/>
        </w:numPr>
        <w:jc w:val="both"/>
        <w:rPr>
          <w:vanish/>
          <w:color w:val="000000"/>
        </w:rPr>
      </w:pPr>
    </w:p>
    <w:p w14:paraId="15B14812" w14:textId="77777777" w:rsidR="002A1A93" w:rsidRPr="00E91F0B" w:rsidRDefault="002A1A93" w:rsidP="002A1A93">
      <w:pPr>
        <w:pStyle w:val="Akapitzlist"/>
        <w:numPr>
          <w:ilvl w:val="0"/>
          <w:numId w:val="17"/>
        </w:numPr>
        <w:jc w:val="both"/>
        <w:rPr>
          <w:vanish/>
          <w:color w:val="000000"/>
        </w:rPr>
      </w:pPr>
    </w:p>
    <w:p w14:paraId="4D269429" w14:textId="77777777" w:rsidR="00093C51" w:rsidRPr="00E91F0B" w:rsidRDefault="00093C51" w:rsidP="002A1A93">
      <w:pPr>
        <w:numPr>
          <w:ilvl w:val="1"/>
          <w:numId w:val="17"/>
        </w:numPr>
        <w:jc w:val="both"/>
        <w:rPr>
          <w:color w:val="000000"/>
        </w:rPr>
      </w:pPr>
      <w:r w:rsidRPr="00E91F0B">
        <w:rPr>
          <w:color w:val="000000"/>
        </w:rPr>
        <w:t xml:space="preserve"> Ogólne wymagania dotyczące sprzętu</w:t>
      </w:r>
    </w:p>
    <w:p w14:paraId="5C0EB685" w14:textId="77777777" w:rsidR="00093C51" w:rsidRPr="00E91F0B" w:rsidRDefault="00093C51" w:rsidP="00A9491C">
      <w:pPr>
        <w:ind w:firstLine="284"/>
        <w:jc w:val="both"/>
        <w:rPr>
          <w:color w:val="000000"/>
        </w:rPr>
      </w:pPr>
    </w:p>
    <w:p w14:paraId="3B7CED0D" w14:textId="77777777" w:rsidR="00093C51" w:rsidRPr="00E91F0B" w:rsidRDefault="00093C51" w:rsidP="00A9491C">
      <w:pPr>
        <w:ind w:firstLine="284"/>
        <w:jc w:val="both"/>
        <w:rPr>
          <w:color w:val="000000"/>
        </w:rPr>
      </w:pPr>
      <w:r w:rsidRPr="00E91F0B">
        <w:rPr>
          <w:color w:val="000000"/>
        </w:rPr>
        <w:t>Ogólne wymagania dotyczące sprzętu podano w ST D-M-00.00.00 „Wymagania ogólne”, pkt.3.</w:t>
      </w:r>
    </w:p>
    <w:p w14:paraId="429ED24E" w14:textId="77777777" w:rsidR="00093C51" w:rsidRPr="00E91F0B" w:rsidRDefault="00093C51" w:rsidP="00A9491C">
      <w:pPr>
        <w:ind w:firstLine="284"/>
        <w:jc w:val="both"/>
        <w:rPr>
          <w:color w:val="000000"/>
        </w:rPr>
      </w:pPr>
    </w:p>
    <w:p w14:paraId="61F6D838" w14:textId="77777777" w:rsidR="00093C51" w:rsidRPr="00E91F0B" w:rsidRDefault="00093C51" w:rsidP="002A1A93">
      <w:pPr>
        <w:numPr>
          <w:ilvl w:val="1"/>
          <w:numId w:val="17"/>
        </w:numPr>
        <w:jc w:val="both"/>
        <w:rPr>
          <w:color w:val="000000"/>
        </w:rPr>
      </w:pPr>
      <w:r w:rsidRPr="00E91F0B">
        <w:rPr>
          <w:color w:val="000000"/>
        </w:rPr>
        <w:t xml:space="preserve"> Sprzęt do wykonania </w:t>
      </w:r>
      <w:r w:rsidR="002A1A93" w:rsidRPr="00E91F0B">
        <w:rPr>
          <w:color w:val="000000"/>
        </w:rPr>
        <w:t>robót ziemnych</w:t>
      </w:r>
    </w:p>
    <w:p w14:paraId="55D1CD09" w14:textId="77777777" w:rsidR="00093C51" w:rsidRPr="00E91F0B" w:rsidRDefault="00093C51" w:rsidP="00A9491C">
      <w:pPr>
        <w:ind w:firstLine="284"/>
        <w:jc w:val="both"/>
        <w:rPr>
          <w:color w:val="000000"/>
        </w:rPr>
      </w:pPr>
    </w:p>
    <w:p w14:paraId="6CB3B34D" w14:textId="77777777" w:rsidR="002A1A93" w:rsidRPr="00E91F0B" w:rsidRDefault="002A1A93" w:rsidP="002A1A93">
      <w:pPr>
        <w:ind w:firstLine="284"/>
        <w:jc w:val="both"/>
        <w:rPr>
          <w:color w:val="000000"/>
        </w:rPr>
      </w:pPr>
      <w:r w:rsidRPr="00E91F0B">
        <w:rPr>
          <w:color w:val="000000"/>
        </w:rPr>
        <w:t>Wykonawca  przystępujący  do  wykonania  robót  ziemnych  powinien  wykazać  się możliwością korzystania z następującego sprzętu do:</w:t>
      </w:r>
    </w:p>
    <w:p w14:paraId="44F2736E" w14:textId="77777777" w:rsidR="002A1A93" w:rsidRPr="00E91F0B" w:rsidRDefault="002A1A93" w:rsidP="002A1A93">
      <w:pPr>
        <w:ind w:firstLine="284"/>
        <w:jc w:val="both"/>
        <w:rPr>
          <w:color w:val="000000"/>
        </w:rPr>
      </w:pPr>
      <w:r w:rsidRPr="00E91F0B">
        <w:rPr>
          <w:color w:val="000000"/>
        </w:rPr>
        <w:t>- odspajania  i  wydobywania  gruntów  (narzędzia  mechaniczne,  młoty  pneumatyczne,  zrywarki, koparki, ładowarki, wiertarki mechaniczne itp.),</w:t>
      </w:r>
    </w:p>
    <w:p w14:paraId="24431084" w14:textId="77777777" w:rsidR="002A1A93" w:rsidRPr="00E91F0B" w:rsidRDefault="002A1A93" w:rsidP="002A1A93">
      <w:pPr>
        <w:ind w:firstLine="284"/>
        <w:jc w:val="both"/>
        <w:rPr>
          <w:color w:val="000000"/>
        </w:rPr>
      </w:pPr>
      <w:r w:rsidRPr="00E91F0B">
        <w:rPr>
          <w:color w:val="000000"/>
        </w:rPr>
        <w:t>- jednoczesnego  wydobywania  i  przemieszczania  gruntów  (spycharki,  urządzenia  do hydromechanizacji itp.),</w:t>
      </w:r>
    </w:p>
    <w:p w14:paraId="3BDD4B5B" w14:textId="77777777" w:rsidR="002A1A93" w:rsidRPr="00E91F0B" w:rsidRDefault="002A1A93" w:rsidP="002A1A93">
      <w:pPr>
        <w:ind w:firstLine="284"/>
        <w:jc w:val="both"/>
        <w:rPr>
          <w:color w:val="000000"/>
        </w:rPr>
      </w:pPr>
      <w:r w:rsidRPr="00E91F0B">
        <w:rPr>
          <w:color w:val="000000"/>
        </w:rPr>
        <w:t>- transportu mas ziemnych (samochody wywrotki, samochody skrzyniowe, itp.),</w:t>
      </w:r>
    </w:p>
    <w:p w14:paraId="33A0ACC3" w14:textId="77777777" w:rsidR="00093C51" w:rsidRPr="00E91F0B" w:rsidRDefault="002A1A93" w:rsidP="002A1A93">
      <w:pPr>
        <w:ind w:firstLine="284"/>
        <w:jc w:val="both"/>
        <w:rPr>
          <w:color w:val="000000"/>
        </w:rPr>
      </w:pPr>
      <w:r w:rsidRPr="00E91F0B">
        <w:rPr>
          <w:color w:val="000000"/>
        </w:rPr>
        <w:t>- sprzętu zagęszczającego (walce, ubijaki, płyty wibracyjne itp.).</w:t>
      </w:r>
    </w:p>
    <w:p w14:paraId="3610925A" w14:textId="77777777" w:rsidR="002A1A93" w:rsidRPr="00E91F0B" w:rsidRDefault="002A1A93" w:rsidP="002A1A93">
      <w:pPr>
        <w:ind w:firstLine="284"/>
        <w:jc w:val="both"/>
        <w:rPr>
          <w:color w:val="000000"/>
        </w:rPr>
      </w:pPr>
    </w:p>
    <w:p w14:paraId="34CB548C" w14:textId="77777777" w:rsidR="002A1A93" w:rsidRPr="00E91F0B" w:rsidRDefault="002A1A93" w:rsidP="002A1A93">
      <w:pPr>
        <w:numPr>
          <w:ilvl w:val="1"/>
          <w:numId w:val="17"/>
        </w:numPr>
        <w:jc w:val="both"/>
        <w:rPr>
          <w:color w:val="000000"/>
        </w:rPr>
      </w:pPr>
      <w:r w:rsidRPr="00E91F0B">
        <w:rPr>
          <w:color w:val="000000"/>
        </w:rPr>
        <w:t>Dobór sprzętu zagęszczającego</w:t>
      </w:r>
    </w:p>
    <w:p w14:paraId="77774E21" w14:textId="77777777" w:rsidR="002A1A93" w:rsidRPr="00E91F0B" w:rsidRDefault="002A1A93" w:rsidP="002A1A93">
      <w:pPr>
        <w:ind w:firstLine="284"/>
        <w:jc w:val="both"/>
        <w:rPr>
          <w:color w:val="000000"/>
        </w:rPr>
      </w:pPr>
    </w:p>
    <w:p w14:paraId="36FD4EEF" w14:textId="77777777" w:rsidR="002A1A93" w:rsidRPr="00E91F0B" w:rsidRDefault="002A1A93" w:rsidP="002A1A93">
      <w:pPr>
        <w:ind w:firstLine="284"/>
        <w:jc w:val="both"/>
        <w:rPr>
          <w:color w:val="000000"/>
        </w:rPr>
      </w:pPr>
      <w:r w:rsidRPr="00E91F0B">
        <w:rPr>
          <w:color w:val="000000"/>
        </w:rPr>
        <w:t>Dla różnych rodzajów gruntów, należy stosować różny sprzęt zagęszczający.</w:t>
      </w:r>
    </w:p>
    <w:p w14:paraId="2ECA05E9" w14:textId="77777777" w:rsidR="002A1A93" w:rsidRPr="00E91F0B" w:rsidRDefault="002A1A93" w:rsidP="002A1A93">
      <w:pPr>
        <w:ind w:firstLine="284"/>
        <w:jc w:val="both"/>
        <w:rPr>
          <w:color w:val="000000"/>
        </w:rPr>
      </w:pPr>
      <w:r w:rsidRPr="00E91F0B">
        <w:rPr>
          <w:color w:val="000000"/>
        </w:rPr>
        <w:lastRenderedPageBreak/>
        <w:t>W tablicy 1 podano, dla różnych rodzajów gruntów, orientacyjne dane przy doborze sprzętu zagęszczającego. Sprzęt do zagęszczania powinien być zatwierdzony przez Inżyniera.</w:t>
      </w:r>
    </w:p>
    <w:p w14:paraId="17518261" w14:textId="77777777" w:rsidR="002A1A93" w:rsidRPr="00E91F0B" w:rsidRDefault="002A1A93" w:rsidP="002A1A93">
      <w:pPr>
        <w:ind w:firstLine="284"/>
        <w:jc w:val="both"/>
        <w:rPr>
          <w:color w:val="000000"/>
        </w:rPr>
      </w:pPr>
      <w:r w:rsidRPr="00E91F0B">
        <w:rPr>
          <w:color w:val="000000"/>
        </w:rPr>
        <w:t>Tablica 1. Orientacyjne dane przy doborze sprzętu zagęszczającego</w:t>
      </w:r>
    </w:p>
    <w:p w14:paraId="2D0388B3" w14:textId="77777777" w:rsidR="002A1A93" w:rsidRPr="00E91F0B" w:rsidRDefault="002A1A93" w:rsidP="002A1A93">
      <w:pPr>
        <w:ind w:firstLine="284"/>
        <w:jc w:val="both"/>
        <w:rPr>
          <w:color w:val="000000"/>
        </w:rPr>
      </w:pPr>
    </w:p>
    <w:p w14:paraId="7B9FFD1C" w14:textId="77777777" w:rsidR="002A1A93" w:rsidRPr="00E91F0B" w:rsidRDefault="002A1A93" w:rsidP="002A1A93">
      <w:pPr>
        <w:ind w:firstLine="284"/>
        <w:jc w:val="both"/>
        <w:rPr>
          <w:color w:val="000000"/>
        </w:rPr>
      </w:pPr>
      <w:r w:rsidRPr="00E91F0B">
        <w:rPr>
          <w:noProof/>
          <w:color w:val="000000"/>
        </w:rPr>
        <w:drawing>
          <wp:inline distT="0" distB="0" distL="0" distR="0" wp14:anchorId="1E976169" wp14:editId="3080C14D">
            <wp:extent cx="5730240" cy="3261360"/>
            <wp:effectExtent l="0" t="0" r="381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30240" cy="3261360"/>
                    </a:xfrm>
                    <a:prstGeom prst="rect">
                      <a:avLst/>
                    </a:prstGeom>
                    <a:noFill/>
                    <a:ln>
                      <a:noFill/>
                    </a:ln>
                  </pic:spPr>
                </pic:pic>
              </a:graphicData>
            </a:graphic>
          </wp:inline>
        </w:drawing>
      </w:r>
    </w:p>
    <w:p w14:paraId="43BE2351" w14:textId="77777777" w:rsidR="002A1A93" w:rsidRPr="00E91F0B" w:rsidRDefault="002A1A93" w:rsidP="002A1A93">
      <w:pPr>
        <w:ind w:firstLine="284"/>
        <w:jc w:val="both"/>
        <w:rPr>
          <w:color w:val="000000"/>
        </w:rPr>
      </w:pPr>
    </w:p>
    <w:p w14:paraId="705DB5E9" w14:textId="77777777" w:rsidR="002A1A93" w:rsidRPr="00E91F0B" w:rsidRDefault="002A1A93" w:rsidP="002A1A93">
      <w:pPr>
        <w:ind w:firstLine="284"/>
        <w:jc w:val="both"/>
        <w:rPr>
          <w:color w:val="000000"/>
        </w:rPr>
      </w:pPr>
      <w:r w:rsidRPr="00E91F0B">
        <w:rPr>
          <w:color w:val="000000"/>
        </w:rPr>
        <w:t>*) Walce statyczne są mało przydatne w gruntach kamienistych.</w:t>
      </w:r>
    </w:p>
    <w:p w14:paraId="5618A387" w14:textId="77777777" w:rsidR="002A1A93" w:rsidRPr="00E91F0B" w:rsidRDefault="002A1A93" w:rsidP="002A1A93">
      <w:pPr>
        <w:ind w:firstLine="284"/>
        <w:jc w:val="both"/>
        <w:rPr>
          <w:color w:val="000000"/>
        </w:rPr>
      </w:pPr>
      <w:r w:rsidRPr="00E91F0B">
        <w:rPr>
          <w:color w:val="000000"/>
        </w:rPr>
        <w:t xml:space="preserve">**) Wibracyjnie należy zagęszczać warstwy grubości </w:t>
      </w:r>
      <w:r w:rsidRPr="00E91F0B">
        <w:rPr>
          <w:color w:val="000000"/>
        </w:rPr>
        <w:t xml:space="preserve"> 15 cm, cieńsze warstwy należy zagęszczać </w:t>
      </w:r>
    </w:p>
    <w:p w14:paraId="0A4663DD" w14:textId="77777777" w:rsidR="002A1A93" w:rsidRPr="00E91F0B" w:rsidRDefault="002A1A93" w:rsidP="002A1A93">
      <w:pPr>
        <w:ind w:firstLine="284"/>
        <w:jc w:val="both"/>
        <w:rPr>
          <w:color w:val="000000"/>
        </w:rPr>
      </w:pPr>
      <w:r w:rsidRPr="00E91F0B">
        <w:rPr>
          <w:color w:val="000000"/>
        </w:rPr>
        <w:t>statycznie.</w:t>
      </w:r>
    </w:p>
    <w:p w14:paraId="4971C564" w14:textId="77777777" w:rsidR="002A1A93" w:rsidRPr="00E91F0B" w:rsidRDefault="002A1A93" w:rsidP="002A1A93">
      <w:pPr>
        <w:ind w:firstLine="284"/>
        <w:jc w:val="both"/>
        <w:rPr>
          <w:color w:val="000000"/>
        </w:rPr>
      </w:pPr>
      <w:r w:rsidRPr="00E91F0B">
        <w:rPr>
          <w:color w:val="000000"/>
        </w:rPr>
        <w:t>***) Wartości orientacyjne, właściwe należy ustalić na odcinku doświadczalnym.</w:t>
      </w:r>
    </w:p>
    <w:p w14:paraId="2CAE5855" w14:textId="77777777" w:rsidR="002A1A93" w:rsidRPr="00E91F0B" w:rsidRDefault="002A1A93" w:rsidP="002A1A93">
      <w:pPr>
        <w:ind w:firstLine="284"/>
        <w:jc w:val="both"/>
        <w:rPr>
          <w:color w:val="000000"/>
        </w:rPr>
      </w:pPr>
      <w:r w:rsidRPr="00E91F0B">
        <w:rPr>
          <w:color w:val="000000"/>
        </w:rPr>
        <w:t xml:space="preserve">Uwagi: </w:t>
      </w:r>
    </w:p>
    <w:p w14:paraId="377F87E6" w14:textId="77777777" w:rsidR="002A1A93" w:rsidRPr="00E91F0B" w:rsidRDefault="002A1A93" w:rsidP="002A1A93">
      <w:pPr>
        <w:ind w:firstLine="284"/>
        <w:jc w:val="both"/>
        <w:rPr>
          <w:color w:val="000000"/>
        </w:rPr>
      </w:pPr>
      <w:r w:rsidRPr="00E91F0B">
        <w:rPr>
          <w:color w:val="000000"/>
        </w:rPr>
        <w:t>1) Do zagęszczania górnych warstw podłoża. Zalecane do codziennego wygładzania (przywałowania) gruntów spoistych w miejscu pobrania i w nasypie.</w:t>
      </w:r>
    </w:p>
    <w:p w14:paraId="328D6649" w14:textId="77777777" w:rsidR="002A1A93" w:rsidRPr="00E91F0B" w:rsidRDefault="002A1A93" w:rsidP="002A1A93">
      <w:pPr>
        <w:ind w:firstLine="284"/>
        <w:jc w:val="both"/>
        <w:rPr>
          <w:color w:val="000000"/>
        </w:rPr>
      </w:pPr>
      <w:r w:rsidRPr="00E91F0B">
        <w:rPr>
          <w:color w:val="000000"/>
        </w:rPr>
        <w:t>2) Nie nadają się do gruntów nawodnionych.</w:t>
      </w:r>
    </w:p>
    <w:p w14:paraId="7599CF4A" w14:textId="77777777" w:rsidR="002A1A93" w:rsidRPr="00E91F0B" w:rsidRDefault="002A1A93" w:rsidP="002A1A93">
      <w:pPr>
        <w:ind w:firstLine="284"/>
        <w:jc w:val="both"/>
        <w:rPr>
          <w:color w:val="000000"/>
        </w:rPr>
      </w:pPr>
      <w:r w:rsidRPr="00E91F0B">
        <w:rPr>
          <w:color w:val="000000"/>
        </w:rPr>
        <w:t>3) Mało przydatne w gruntach spoistych.</w:t>
      </w:r>
    </w:p>
    <w:p w14:paraId="28B242BE" w14:textId="77777777" w:rsidR="002A1A93" w:rsidRPr="00E91F0B" w:rsidRDefault="002A1A93" w:rsidP="002A1A93">
      <w:pPr>
        <w:ind w:firstLine="284"/>
        <w:jc w:val="both"/>
        <w:rPr>
          <w:color w:val="000000"/>
        </w:rPr>
      </w:pPr>
      <w:r w:rsidRPr="00E91F0B">
        <w:rPr>
          <w:color w:val="000000"/>
        </w:rPr>
        <w:t>4) Do gruntów spoistych przydatne są walce średnie i ciężkie, do gruntów kamienistych  -  walce bardzo ciężkie.</w:t>
      </w:r>
    </w:p>
    <w:p w14:paraId="59B74C69" w14:textId="77777777" w:rsidR="002A1A93" w:rsidRPr="00E91F0B" w:rsidRDefault="002A1A93" w:rsidP="002A1A93">
      <w:pPr>
        <w:ind w:firstLine="284"/>
        <w:jc w:val="both"/>
        <w:rPr>
          <w:color w:val="000000"/>
        </w:rPr>
      </w:pPr>
      <w:r w:rsidRPr="00E91F0B">
        <w:rPr>
          <w:color w:val="000000"/>
        </w:rPr>
        <w:t>5) Zalecane do piasków pylastych i gliniastych, pospółek gliniastych i glin piaszczystych.</w:t>
      </w:r>
    </w:p>
    <w:p w14:paraId="67FB4CBB" w14:textId="77777777" w:rsidR="002A1A93" w:rsidRPr="00E91F0B" w:rsidRDefault="002A1A93" w:rsidP="002A1A93">
      <w:pPr>
        <w:ind w:firstLine="284"/>
        <w:jc w:val="both"/>
        <w:rPr>
          <w:color w:val="000000"/>
        </w:rPr>
      </w:pPr>
      <w:r w:rsidRPr="00E91F0B">
        <w:rPr>
          <w:color w:val="000000"/>
        </w:rPr>
        <w:t>6) Zalecane do zasypek wąskich przekopów.</w:t>
      </w:r>
    </w:p>
    <w:p w14:paraId="2EBB940D" w14:textId="77777777" w:rsidR="002A1A93" w:rsidRPr="00E91F0B" w:rsidRDefault="002A1A93" w:rsidP="002A1A93">
      <w:pPr>
        <w:ind w:firstLine="284"/>
        <w:jc w:val="both"/>
        <w:rPr>
          <w:color w:val="000000"/>
        </w:rPr>
      </w:pPr>
    </w:p>
    <w:p w14:paraId="6D2B82B3" w14:textId="77777777" w:rsidR="002A1A93" w:rsidRPr="00E91F0B" w:rsidRDefault="002A1A93" w:rsidP="002A1A93">
      <w:pPr>
        <w:ind w:firstLine="284"/>
        <w:jc w:val="both"/>
        <w:rPr>
          <w:color w:val="000000"/>
        </w:rPr>
      </w:pPr>
    </w:p>
    <w:p w14:paraId="3941EDE9" w14:textId="77777777" w:rsidR="00093C51" w:rsidRPr="00E91F0B" w:rsidRDefault="00093C51" w:rsidP="00EC60D2">
      <w:pPr>
        <w:ind w:left="284"/>
        <w:jc w:val="both"/>
        <w:rPr>
          <w:color w:val="000000"/>
        </w:rPr>
      </w:pPr>
    </w:p>
    <w:p w14:paraId="3150D83D" w14:textId="77777777" w:rsidR="00093C51" w:rsidRPr="00E91F0B" w:rsidRDefault="00093C51" w:rsidP="002A1A93">
      <w:pPr>
        <w:numPr>
          <w:ilvl w:val="0"/>
          <w:numId w:val="3"/>
        </w:numPr>
        <w:ind w:left="0" w:firstLine="284"/>
        <w:jc w:val="both"/>
        <w:rPr>
          <w:b/>
          <w:bCs/>
          <w:color w:val="000000"/>
        </w:rPr>
      </w:pPr>
      <w:r w:rsidRPr="00E91F0B">
        <w:rPr>
          <w:b/>
          <w:color w:val="000000"/>
        </w:rPr>
        <w:t>Transport</w:t>
      </w:r>
    </w:p>
    <w:p w14:paraId="058478C7" w14:textId="77777777" w:rsidR="00093C51" w:rsidRPr="00E91F0B" w:rsidRDefault="00093C51" w:rsidP="00A9491C">
      <w:pPr>
        <w:ind w:firstLine="284"/>
        <w:jc w:val="both"/>
        <w:rPr>
          <w:color w:val="000000"/>
        </w:rPr>
      </w:pPr>
    </w:p>
    <w:p w14:paraId="461A0AE3" w14:textId="77777777" w:rsidR="002A1A93" w:rsidRPr="00E91F0B" w:rsidRDefault="002A1A93" w:rsidP="002A1A93">
      <w:pPr>
        <w:pStyle w:val="Akapitzlist"/>
        <w:numPr>
          <w:ilvl w:val="1"/>
          <w:numId w:val="3"/>
        </w:numPr>
        <w:jc w:val="both"/>
        <w:rPr>
          <w:color w:val="000000"/>
        </w:rPr>
      </w:pPr>
      <w:r w:rsidRPr="00E91F0B">
        <w:rPr>
          <w:color w:val="000000"/>
        </w:rPr>
        <w:t>Ogólne wymagania dotyczące transportu</w:t>
      </w:r>
    </w:p>
    <w:p w14:paraId="702080D3" w14:textId="77777777" w:rsidR="002A1A93" w:rsidRPr="00E91F0B" w:rsidRDefault="002A1A93" w:rsidP="002A1A93">
      <w:pPr>
        <w:pStyle w:val="Akapitzlist"/>
        <w:ind w:left="862"/>
        <w:jc w:val="both"/>
        <w:rPr>
          <w:color w:val="000000"/>
        </w:rPr>
      </w:pPr>
    </w:p>
    <w:p w14:paraId="29FB211B" w14:textId="77777777" w:rsidR="002A1A93" w:rsidRPr="00E91F0B" w:rsidRDefault="002A1A93" w:rsidP="002A1A93">
      <w:pPr>
        <w:ind w:firstLine="284"/>
        <w:jc w:val="both"/>
        <w:rPr>
          <w:color w:val="000000"/>
        </w:rPr>
      </w:pPr>
      <w:r w:rsidRPr="00E91F0B">
        <w:rPr>
          <w:color w:val="000000"/>
        </w:rPr>
        <w:t>Ogólne wymagania dotyczące transportu podano w ST D-M-00.00.00 „Wymagania ogólne” pkt 4.</w:t>
      </w:r>
    </w:p>
    <w:p w14:paraId="2231C56D" w14:textId="77777777" w:rsidR="002A1A93" w:rsidRPr="00E91F0B" w:rsidRDefault="002A1A93" w:rsidP="002A1A93">
      <w:pPr>
        <w:ind w:firstLine="284"/>
        <w:jc w:val="both"/>
        <w:rPr>
          <w:color w:val="000000"/>
        </w:rPr>
      </w:pPr>
    </w:p>
    <w:p w14:paraId="6A6FBE69" w14:textId="77777777" w:rsidR="002A1A93" w:rsidRPr="00E91F0B" w:rsidRDefault="002A1A93" w:rsidP="002A1A93">
      <w:pPr>
        <w:pStyle w:val="Akapitzlist"/>
        <w:numPr>
          <w:ilvl w:val="1"/>
          <w:numId w:val="3"/>
        </w:numPr>
        <w:jc w:val="both"/>
        <w:rPr>
          <w:color w:val="000000"/>
        </w:rPr>
      </w:pPr>
      <w:r w:rsidRPr="00E91F0B">
        <w:rPr>
          <w:color w:val="000000"/>
        </w:rPr>
        <w:t>Transport gruntów</w:t>
      </w:r>
    </w:p>
    <w:p w14:paraId="5BE8BDDA" w14:textId="77777777" w:rsidR="002A1A93" w:rsidRPr="00E91F0B" w:rsidRDefault="002A1A93" w:rsidP="002A1A93">
      <w:pPr>
        <w:pStyle w:val="Akapitzlist"/>
        <w:ind w:left="862"/>
        <w:jc w:val="both"/>
        <w:rPr>
          <w:color w:val="000000"/>
        </w:rPr>
      </w:pPr>
    </w:p>
    <w:p w14:paraId="0AC829C4" w14:textId="77777777" w:rsidR="002A1A93" w:rsidRPr="00E91F0B" w:rsidRDefault="002A1A93" w:rsidP="002A1A93">
      <w:pPr>
        <w:ind w:firstLine="284"/>
        <w:jc w:val="both"/>
        <w:rPr>
          <w:color w:val="000000"/>
        </w:rPr>
      </w:pPr>
      <w:r w:rsidRPr="00E91F0B">
        <w:rPr>
          <w:color w:val="000000"/>
        </w:rPr>
        <w:t>Wybór  środków  transportowych  oraz  metod  transportu  powinien  być  dostosowany  do kategorii  gruntu (materiału), jego objętości, technologii odspajania i załadunku oraz od odległości transportu. Wydajność środków transportowych powinna być ponadto dostosowana do wydajności sprzętu stosowanego do urabiania i wbudowania gruntu (materiału).</w:t>
      </w:r>
    </w:p>
    <w:p w14:paraId="3BF70850" w14:textId="77777777" w:rsidR="002A1A93" w:rsidRPr="00E91F0B" w:rsidRDefault="002A1A93" w:rsidP="002A1A93">
      <w:pPr>
        <w:ind w:firstLine="284"/>
        <w:jc w:val="both"/>
        <w:rPr>
          <w:color w:val="000000"/>
        </w:rPr>
      </w:pPr>
      <w:r w:rsidRPr="00E91F0B">
        <w:rPr>
          <w:color w:val="000000"/>
        </w:rPr>
        <w:t>Zwiększenie  odległości  transportu  ponad  wartości  zatwierdzone  nie  może  być  podstawą roszczeń Wykonawcy, dotyczących dodatkowej zapłaty za transport, o ile zwiększone odległości nie zostały wcześniej zaakceptowane na piśmie przez Inżyniera.</w:t>
      </w:r>
    </w:p>
    <w:p w14:paraId="0F06C32D" w14:textId="77777777" w:rsidR="002A1A93" w:rsidRPr="00E91F0B" w:rsidRDefault="002A1A93" w:rsidP="002A1A93">
      <w:pPr>
        <w:ind w:firstLine="284"/>
        <w:jc w:val="both"/>
        <w:rPr>
          <w:color w:val="000000"/>
        </w:rPr>
      </w:pPr>
    </w:p>
    <w:p w14:paraId="117A4E39" w14:textId="77777777" w:rsidR="002A1A93" w:rsidRPr="00E91F0B" w:rsidRDefault="002A1A93" w:rsidP="002A1A93">
      <w:pPr>
        <w:numPr>
          <w:ilvl w:val="0"/>
          <w:numId w:val="3"/>
        </w:numPr>
        <w:ind w:left="0" w:firstLine="284"/>
        <w:jc w:val="both"/>
        <w:rPr>
          <w:b/>
          <w:color w:val="000000"/>
        </w:rPr>
      </w:pPr>
      <w:r w:rsidRPr="00E91F0B">
        <w:rPr>
          <w:b/>
          <w:color w:val="000000"/>
        </w:rPr>
        <w:t>WYKONANIE ROBÓT</w:t>
      </w:r>
    </w:p>
    <w:p w14:paraId="1C178F04" w14:textId="77777777" w:rsidR="002A1A93" w:rsidRPr="00E91F0B" w:rsidRDefault="002A1A93" w:rsidP="002A1A93">
      <w:pPr>
        <w:ind w:firstLine="284"/>
        <w:jc w:val="both"/>
        <w:rPr>
          <w:color w:val="000000"/>
        </w:rPr>
      </w:pPr>
    </w:p>
    <w:p w14:paraId="4ED649AB" w14:textId="77777777" w:rsidR="002A1A93" w:rsidRPr="00E91F0B" w:rsidRDefault="002A1A93" w:rsidP="002A1A93">
      <w:pPr>
        <w:ind w:firstLine="284"/>
        <w:jc w:val="both"/>
        <w:rPr>
          <w:color w:val="000000"/>
        </w:rPr>
      </w:pPr>
      <w:r w:rsidRPr="00E91F0B">
        <w:rPr>
          <w:b/>
          <w:color w:val="000000"/>
        </w:rPr>
        <w:t>5.1</w:t>
      </w:r>
      <w:r w:rsidRPr="00E91F0B">
        <w:rPr>
          <w:color w:val="000000"/>
        </w:rPr>
        <w:t>. Ogólne zasady wykonania robót</w:t>
      </w:r>
    </w:p>
    <w:p w14:paraId="0DD50E53" w14:textId="77777777" w:rsidR="002A1A93" w:rsidRPr="00E91F0B" w:rsidRDefault="002A1A93" w:rsidP="002A1A93">
      <w:pPr>
        <w:ind w:firstLine="284"/>
        <w:jc w:val="both"/>
        <w:rPr>
          <w:color w:val="000000"/>
        </w:rPr>
      </w:pPr>
      <w:r w:rsidRPr="00E91F0B">
        <w:rPr>
          <w:color w:val="000000"/>
        </w:rPr>
        <w:t>Ogólne zasady wykonania robót podano w ST D-M-00.00.00 „Wymagania ogólne” pkt 5.</w:t>
      </w:r>
    </w:p>
    <w:p w14:paraId="41933A87" w14:textId="77777777" w:rsidR="002A1A93" w:rsidRPr="00E91F0B" w:rsidRDefault="002A1A93" w:rsidP="002A1A93">
      <w:pPr>
        <w:ind w:firstLine="284"/>
        <w:jc w:val="both"/>
        <w:rPr>
          <w:color w:val="000000"/>
        </w:rPr>
      </w:pPr>
    </w:p>
    <w:p w14:paraId="4839259C" w14:textId="77777777" w:rsidR="002A1A93" w:rsidRPr="00E91F0B" w:rsidRDefault="002A1A93" w:rsidP="002A1A93">
      <w:pPr>
        <w:ind w:firstLine="284"/>
        <w:jc w:val="both"/>
        <w:rPr>
          <w:color w:val="000000"/>
        </w:rPr>
      </w:pPr>
      <w:r w:rsidRPr="00E91F0B">
        <w:rPr>
          <w:b/>
          <w:color w:val="000000"/>
        </w:rPr>
        <w:t>5.2</w:t>
      </w:r>
      <w:r w:rsidRPr="00E91F0B">
        <w:rPr>
          <w:color w:val="000000"/>
        </w:rPr>
        <w:t>. Wymiana gruntów</w:t>
      </w:r>
    </w:p>
    <w:p w14:paraId="53649FF9" w14:textId="77777777" w:rsidR="002A1A93" w:rsidRPr="00E91F0B" w:rsidRDefault="002A1A93" w:rsidP="002A1A93">
      <w:pPr>
        <w:ind w:firstLine="284"/>
        <w:jc w:val="both"/>
        <w:rPr>
          <w:color w:val="000000"/>
        </w:rPr>
      </w:pPr>
    </w:p>
    <w:p w14:paraId="5659E62D" w14:textId="77777777" w:rsidR="002A1A93" w:rsidRPr="00E91F0B" w:rsidRDefault="002A1A93" w:rsidP="002A1A93">
      <w:pPr>
        <w:ind w:firstLine="284"/>
        <w:jc w:val="both"/>
        <w:rPr>
          <w:color w:val="000000"/>
        </w:rPr>
      </w:pPr>
      <w:r w:rsidRPr="00E91F0B">
        <w:rPr>
          <w:b/>
          <w:color w:val="000000"/>
        </w:rPr>
        <w:t>5.2.1.</w:t>
      </w:r>
      <w:r w:rsidRPr="00E91F0B">
        <w:rPr>
          <w:color w:val="000000"/>
        </w:rPr>
        <w:t xml:space="preserve"> Przygotowanie podłoża w obrębie podstawy wymienianego gruntu. Przed przystąpieniem do wymiany gruntu należy w obrębie jego podstawy zakończyć roboty przygotowawcze.</w:t>
      </w:r>
    </w:p>
    <w:p w14:paraId="51E03A91" w14:textId="77777777" w:rsidR="002906AD" w:rsidRPr="00E91F0B" w:rsidRDefault="002906AD" w:rsidP="002A1A93">
      <w:pPr>
        <w:ind w:firstLine="284"/>
        <w:jc w:val="both"/>
        <w:rPr>
          <w:color w:val="000000"/>
        </w:rPr>
      </w:pPr>
    </w:p>
    <w:p w14:paraId="2233ADEF" w14:textId="77777777" w:rsidR="002906AD" w:rsidRPr="00E91F0B" w:rsidRDefault="002906AD" w:rsidP="002A1A93">
      <w:pPr>
        <w:ind w:firstLine="284"/>
        <w:jc w:val="both"/>
        <w:rPr>
          <w:color w:val="000000"/>
        </w:rPr>
      </w:pPr>
      <w:r w:rsidRPr="00E91F0B">
        <w:rPr>
          <w:b/>
          <w:color w:val="000000"/>
        </w:rPr>
        <w:t xml:space="preserve">5.2.2 </w:t>
      </w:r>
      <w:r w:rsidRPr="00E91F0B">
        <w:rPr>
          <w:color w:val="000000"/>
        </w:rPr>
        <w:t>Obudowę wykopu (np. ścianki szczelne) należy zastosować w przypadku gdy wymianę gruntu prowadzi się do głęb</w:t>
      </w:r>
      <w:r w:rsidR="00C9751C" w:rsidRPr="00E91F0B">
        <w:rPr>
          <w:color w:val="000000"/>
        </w:rPr>
        <w:t>o</w:t>
      </w:r>
      <w:r w:rsidRPr="00E91F0B">
        <w:rPr>
          <w:color w:val="000000"/>
        </w:rPr>
        <w:t>kości większej niż 3,0 m poniżej poziomu terenu.</w:t>
      </w:r>
    </w:p>
    <w:p w14:paraId="33A47AD3" w14:textId="77777777" w:rsidR="002A1A93" w:rsidRPr="00E91F0B" w:rsidRDefault="002A1A93" w:rsidP="002A1A93">
      <w:pPr>
        <w:ind w:firstLine="284"/>
        <w:jc w:val="both"/>
        <w:rPr>
          <w:color w:val="000000"/>
        </w:rPr>
      </w:pPr>
    </w:p>
    <w:p w14:paraId="4808B1B1" w14:textId="77777777" w:rsidR="002A1A93" w:rsidRPr="00E91F0B" w:rsidRDefault="002A1A93" w:rsidP="002A1A93">
      <w:pPr>
        <w:ind w:firstLine="284"/>
        <w:jc w:val="both"/>
        <w:rPr>
          <w:color w:val="000000"/>
        </w:rPr>
      </w:pPr>
      <w:r w:rsidRPr="00E91F0B">
        <w:rPr>
          <w:b/>
          <w:color w:val="000000"/>
        </w:rPr>
        <w:t>5.</w:t>
      </w:r>
      <w:r w:rsidR="002906AD" w:rsidRPr="00E91F0B">
        <w:rPr>
          <w:b/>
          <w:color w:val="000000"/>
        </w:rPr>
        <w:t>3.</w:t>
      </w:r>
      <w:r w:rsidRPr="00E91F0B">
        <w:rPr>
          <w:color w:val="000000"/>
        </w:rPr>
        <w:t xml:space="preserve"> Zagęszczenie gruntów w podłożu wymienianego gruntu</w:t>
      </w:r>
    </w:p>
    <w:p w14:paraId="1095A041" w14:textId="77777777" w:rsidR="002A1A93" w:rsidRPr="00E91F0B" w:rsidRDefault="002A1A93" w:rsidP="002A1A93">
      <w:pPr>
        <w:ind w:firstLine="284"/>
        <w:jc w:val="both"/>
        <w:rPr>
          <w:color w:val="000000"/>
        </w:rPr>
      </w:pPr>
    </w:p>
    <w:p w14:paraId="5731A5FE" w14:textId="77777777" w:rsidR="002A1A93" w:rsidRPr="00E91F0B" w:rsidRDefault="002A1A93" w:rsidP="002A1A93">
      <w:pPr>
        <w:ind w:firstLine="284"/>
        <w:jc w:val="both"/>
        <w:rPr>
          <w:color w:val="000000"/>
        </w:rPr>
      </w:pPr>
      <w:r w:rsidRPr="00E91F0B">
        <w:rPr>
          <w:color w:val="000000"/>
        </w:rPr>
        <w:t>Wykonawca powinien skontrolować wskaźnik zagęszcze</w:t>
      </w:r>
      <w:r w:rsidR="00C9751C" w:rsidRPr="00E91F0B">
        <w:rPr>
          <w:color w:val="000000"/>
        </w:rPr>
        <w:t>nia gruntów rodzimych, zalegają</w:t>
      </w:r>
      <w:r w:rsidRPr="00E91F0B">
        <w:rPr>
          <w:color w:val="000000"/>
        </w:rPr>
        <w:t>cych w górnej strefie podłoża wymienianego gruntu, do głębokości 0,5 metra od powierzchni terenu przy  wymianie gruntu. Jeżeli wartość wskaźnika zagęszczenia jest mniejsza niż 0,98, Wykonawca powinien dogęścić podłoże tak, aby powyższe wymaganie zostało spełnione.</w:t>
      </w:r>
    </w:p>
    <w:p w14:paraId="26B9ECF2" w14:textId="77777777" w:rsidR="002A1A93" w:rsidRPr="00E91F0B" w:rsidRDefault="002A1A93" w:rsidP="002A1A93">
      <w:pPr>
        <w:ind w:firstLine="284"/>
        <w:jc w:val="both"/>
        <w:rPr>
          <w:color w:val="000000"/>
        </w:rPr>
      </w:pPr>
      <w:r w:rsidRPr="00E91F0B">
        <w:rPr>
          <w:color w:val="000000"/>
        </w:rPr>
        <w:t>Jeżeli wartości wskaźnika zagęszczenia 0,98  nie mogą być osiągnięte przez bezpośrednie</w:t>
      </w:r>
      <w:r w:rsidR="002906AD" w:rsidRPr="00E91F0B">
        <w:rPr>
          <w:color w:val="000000"/>
        </w:rPr>
        <w:t xml:space="preserve"> </w:t>
      </w:r>
      <w:r w:rsidRPr="00E91F0B">
        <w:rPr>
          <w:color w:val="000000"/>
        </w:rPr>
        <w:t>zagęszczanie podłoża, to należy podjąć środki w celu ulepszenia gruntu podłoża, umożliwiające uzyskanie wymaganych wartości wskaźnika zagęszczenia.</w:t>
      </w:r>
    </w:p>
    <w:p w14:paraId="45C3DA6D" w14:textId="77777777" w:rsidR="002906AD" w:rsidRPr="00E91F0B" w:rsidRDefault="002906AD" w:rsidP="002A1A93">
      <w:pPr>
        <w:ind w:firstLine="284"/>
        <w:jc w:val="both"/>
        <w:rPr>
          <w:color w:val="000000"/>
        </w:rPr>
      </w:pPr>
    </w:p>
    <w:p w14:paraId="059F71A0" w14:textId="77777777" w:rsidR="002A1A93" w:rsidRPr="00E91F0B" w:rsidRDefault="002906AD" w:rsidP="002A1A93">
      <w:pPr>
        <w:ind w:firstLine="284"/>
        <w:jc w:val="both"/>
        <w:rPr>
          <w:color w:val="000000"/>
        </w:rPr>
      </w:pPr>
      <w:r w:rsidRPr="00E91F0B">
        <w:rPr>
          <w:b/>
          <w:color w:val="000000"/>
        </w:rPr>
        <w:t>5.4</w:t>
      </w:r>
      <w:r w:rsidR="002A1A93" w:rsidRPr="00E91F0B">
        <w:rPr>
          <w:color w:val="000000"/>
        </w:rPr>
        <w:t>. Wybór gruntów i materiałów do wymiany gruntu</w:t>
      </w:r>
    </w:p>
    <w:p w14:paraId="50D6BB6D" w14:textId="77777777" w:rsidR="002906AD" w:rsidRPr="00E91F0B" w:rsidRDefault="002906AD" w:rsidP="002A1A93">
      <w:pPr>
        <w:ind w:firstLine="284"/>
        <w:jc w:val="both"/>
        <w:rPr>
          <w:color w:val="000000"/>
        </w:rPr>
      </w:pPr>
    </w:p>
    <w:p w14:paraId="58E11632" w14:textId="77777777" w:rsidR="002A1A93" w:rsidRPr="00E91F0B" w:rsidRDefault="002A1A93" w:rsidP="002A1A93">
      <w:pPr>
        <w:ind w:firstLine="284"/>
        <w:jc w:val="both"/>
        <w:rPr>
          <w:color w:val="000000"/>
        </w:rPr>
      </w:pPr>
      <w:r w:rsidRPr="00E91F0B">
        <w:rPr>
          <w:color w:val="000000"/>
        </w:rPr>
        <w:t xml:space="preserve">Wybór  gruntów  i  materiałów do  wymiany  gruntów  powinien  być dokonany  z </w:t>
      </w:r>
      <w:r w:rsidR="00D41A81" w:rsidRPr="00E91F0B">
        <w:rPr>
          <w:color w:val="000000"/>
        </w:rPr>
        <w:t>u</w:t>
      </w:r>
      <w:r w:rsidRPr="00E91F0B">
        <w:rPr>
          <w:color w:val="000000"/>
        </w:rPr>
        <w:t>względnieniem zasad podanych w punkcie 2.</w:t>
      </w:r>
    </w:p>
    <w:p w14:paraId="4E1D4E96" w14:textId="77777777" w:rsidR="002906AD" w:rsidRPr="00E91F0B" w:rsidRDefault="002906AD" w:rsidP="002A1A93">
      <w:pPr>
        <w:ind w:firstLine="284"/>
        <w:jc w:val="both"/>
        <w:rPr>
          <w:color w:val="000000"/>
        </w:rPr>
      </w:pPr>
    </w:p>
    <w:p w14:paraId="555CA2D6" w14:textId="77777777" w:rsidR="002A1A93" w:rsidRPr="00E91F0B" w:rsidRDefault="002906AD" w:rsidP="002A1A93">
      <w:pPr>
        <w:ind w:firstLine="284"/>
        <w:jc w:val="both"/>
        <w:rPr>
          <w:color w:val="000000"/>
        </w:rPr>
      </w:pPr>
      <w:r w:rsidRPr="00E91F0B">
        <w:rPr>
          <w:b/>
          <w:color w:val="000000"/>
        </w:rPr>
        <w:t>5.4</w:t>
      </w:r>
      <w:r w:rsidR="002A1A93" w:rsidRPr="00E91F0B">
        <w:rPr>
          <w:color w:val="000000"/>
        </w:rPr>
        <w:t xml:space="preserve"> Zasady wymiany gruntów</w:t>
      </w:r>
    </w:p>
    <w:p w14:paraId="5DDFDD7B" w14:textId="77777777" w:rsidR="002906AD" w:rsidRPr="00E91F0B" w:rsidRDefault="002906AD" w:rsidP="002A1A93">
      <w:pPr>
        <w:ind w:firstLine="284"/>
        <w:jc w:val="both"/>
        <w:rPr>
          <w:color w:val="000000"/>
        </w:rPr>
      </w:pPr>
    </w:p>
    <w:p w14:paraId="7040AD8B" w14:textId="77777777" w:rsidR="002A1A93" w:rsidRPr="00E91F0B" w:rsidRDefault="002906AD" w:rsidP="002A1A93">
      <w:pPr>
        <w:ind w:firstLine="284"/>
        <w:jc w:val="both"/>
        <w:rPr>
          <w:color w:val="000000"/>
        </w:rPr>
      </w:pPr>
      <w:r w:rsidRPr="00E91F0B">
        <w:rPr>
          <w:b/>
          <w:color w:val="000000"/>
        </w:rPr>
        <w:t>5.4.1</w:t>
      </w:r>
      <w:r w:rsidR="002A1A93" w:rsidRPr="00E91F0B">
        <w:rPr>
          <w:b/>
          <w:color w:val="000000"/>
        </w:rPr>
        <w:t>.</w:t>
      </w:r>
      <w:r w:rsidR="002A1A93" w:rsidRPr="00E91F0B">
        <w:rPr>
          <w:color w:val="000000"/>
        </w:rPr>
        <w:t xml:space="preserve"> Ogólne zasady wymiany gruntów</w:t>
      </w:r>
    </w:p>
    <w:p w14:paraId="7C4EA2FB" w14:textId="77777777" w:rsidR="002A1A93" w:rsidRPr="00E91F0B" w:rsidRDefault="002A1A93" w:rsidP="002906AD">
      <w:pPr>
        <w:ind w:firstLine="284"/>
        <w:jc w:val="both"/>
        <w:rPr>
          <w:color w:val="000000"/>
        </w:rPr>
      </w:pPr>
      <w:r w:rsidRPr="00E91F0B">
        <w:rPr>
          <w:color w:val="000000"/>
        </w:rPr>
        <w:t>W celu zapewnienia równomiernego osiadan</w:t>
      </w:r>
      <w:r w:rsidR="002906AD" w:rsidRPr="00E91F0B">
        <w:rPr>
          <w:color w:val="000000"/>
        </w:rPr>
        <w:t xml:space="preserve">ia  wymienianego gruntu  należy </w:t>
      </w:r>
      <w:r w:rsidRPr="00E91F0B">
        <w:rPr>
          <w:color w:val="000000"/>
        </w:rPr>
        <w:t>przestrzegać następujących zasad:</w:t>
      </w:r>
    </w:p>
    <w:p w14:paraId="6FCF7031" w14:textId="77777777" w:rsidR="002906AD" w:rsidRPr="00E91F0B" w:rsidRDefault="002906AD" w:rsidP="002906AD">
      <w:pPr>
        <w:ind w:firstLine="284"/>
        <w:jc w:val="both"/>
        <w:rPr>
          <w:color w:val="000000"/>
        </w:rPr>
      </w:pPr>
      <w:r w:rsidRPr="00E91F0B">
        <w:rPr>
          <w:color w:val="000000"/>
        </w:rPr>
        <w:t>a)  Wymi</w:t>
      </w:r>
      <w:r w:rsidR="00C9751C" w:rsidRPr="00E91F0B">
        <w:rPr>
          <w:color w:val="000000"/>
        </w:rPr>
        <w:t>a</w:t>
      </w:r>
      <w:r w:rsidRPr="00E91F0B">
        <w:rPr>
          <w:color w:val="000000"/>
        </w:rPr>
        <w:t>nę gruntu należy wykonywać metodą warstwową, z gruntów przydatnych czyli takich jak do budowy nasypów. Wbudowywany grunt powinien być wznoszone równomiernie na całej szerokości. Dla dolnych warstw wskaźnik różnoziarnistości U≥3,0.</w:t>
      </w:r>
    </w:p>
    <w:p w14:paraId="040FEF22" w14:textId="77777777" w:rsidR="002906AD" w:rsidRPr="00E91F0B" w:rsidRDefault="002906AD" w:rsidP="002906AD">
      <w:pPr>
        <w:ind w:firstLine="284"/>
        <w:jc w:val="both"/>
        <w:rPr>
          <w:color w:val="000000"/>
        </w:rPr>
      </w:pPr>
      <w:r w:rsidRPr="00E91F0B">
        <w:rPr>
          <w:color w:val="000000"/>
        </w:rPr>
        <w:lastRenderedPageBreak/>
        <w:t>b)  Grubość warstwy w stanie luźnym powinna być odpowiednio dobrana w zależności od rodzaju gruntu i sprzętu używanego do zagęszczania. Przystąpienie do wbudowania kolejnej warstwy może nastąpić dopiero po stwierdzeniu przez Inżyniera prawidłowego wykonania warstwy poprzedniej.</w:t>
      </w:r>
    </w:p>
    <w:p w14:paraId="72558B0B" w14:textId="77777777" w:rsidR="002906AD" w:rsidRPr="00E91F0B" w:rsidRDefault="002906AD" w:rsidP="002906AD">
      <w:pPr>
        <w:ind w:firstLine="284"/>
        <w:jc w:val="both"/>
        <w:rPr>
          <w:color w:val="000000"/>
        </w:rPr>
      </w:pPr>
      <w:r w:rsidRPr="00E91F0B">
        <w:rPr>
          <w:color w:val="000000"/>
        </w:rPr>
        <w:t xml:space="preserve">c)  Górną warstwę, o grubości co najmniej 0,5 m należy wykonać z gruntów </w:t>
      </w:r>
      <w:proofErr w:type="spellStart"/>
      <w:r w:rsidRPr="00E91F0B">
        <w:rPr>
          <w:color w:val="000000"/>
        </w:rPr>
        <w:t>niewysadzinowych</w:t>
      </w:r>
      <w:proofErr w:type="spellEnd"/>
      <w:r w:rsidRPr="00E91F0B">
        <w:rPr>
          <w:color w:val="000000"/>
        </w:rPr>
        <w:t>, o wskaźniku wodoprzepuszczalności K</w:t>
      </w:r>
      <w:r w:rsidRPr="00E91F0B">
        <w:rPr>
          <w:color w:val="000000"/>
          <w:vertAlign w:val="subscript"/>
        </w:rPr>
        <w:t>10</w:t>
      </w:r>
      <w:r w:rsidRPr="00E91F0B">
        <w:rPr>
          <w:color w:val="000000"/>
        </w:rPr>
        <w:t xml:space="preserve"> ≥ 6 x 10</w:t>
      </w:r>
      <w:r w:rsidRPr="00E91F0B">
        <w:rPr>
          <w:color w:val="000000"/>
          <w:vertAlign w:val="superscript"/>
        </w:rPr>
        <w:t>–5</w:t>
      </w:r>
      <w:r w:rsidRPr="00E91F0B">
        <w:rPr>
          <w:color w:val="000000"/>
        </w:rPr>
        <w:t xml:space="preserve"> m/s i wskaźniku różnoziarnistości U ≥ 5. </w:t>
      </w:r>
    </w:p>
    <w:p w14:paraId="56C41ED4" w14:textId="77777777" w:rsidR="002A1A93" w:rsidRPr="00E91F0B" w:rsidRDefault="002906AD" w:rsidP="002906AD">
      <w:pPr>
        <w:ind w:firstLine="284"/>
        <w:jc w:val="both"/>
        <w:rPr>
          <w:color w:val="000000"/>
        </w:rPr>
      </w:pPr>
      <w:r w:rsidRPr="00E91F0B">
        <w:rPr>
          <w:color w:val="000000"/>
        </w:rPr>
        <w:t>d)  Grunt przewieziony w miejsce  wbudowania powinien być bezzwłocznie wbudowany  w przygotowane  miejsce. Inżynier  może dopuścić  czasowe składowanie  gruntu, pod  warunkiem  jego zabezpieczenia przed nadmiernym zawilgoceniem.</w:t>
      </w:r>
    </w:p>
    <w:p w14:paraId="3CDF9258" w14:textId="77777777" w:rsidR="002A1A93" w:rsidRPr="00E91F0B" w:rsidRDefault="002A1A93" w:rsidP="002A1A93">
      <w:pPr>
        <w:ind w:firstLine="284"/>
        <w:jc w:val="both"/>
        <w:rPr>
          <w:color w:val="000000"/>
        </w:rPr>
      </w:pPr>
    </w:p>
    <w:p w14:paraId="67FDFFF3" w14:textId="77777777" w:rsidR="002906AD" w:rsidRPr="00E91F0B" w:rsidRDefault="002906AD" w:rsidP="002906AD">
      <w:pPr>
        <w:ind w:firstLine="284"/>
        <w:jc w:val="both"/>
        <w:rPr>
          <w:color w:val="000000"/>
        </w:rPr>
      </w:pPr>
      <w:r w:rsidRPr="00E91F0B">
        <w:rPr>
          <w:b/>
          <w:color w:val="000000"/>
        </w:rPr>
        <w:t>5.4.2.</w:t>
      </w:r>
      <w:r w:rsidRPr="00E91F0B">
        <w:rPr>
          <w:color w:val="000000"/>
        </w:rPr>
        <w:t xml:space="preserve">  Wykonywanie wymiany gruntów w okresie deszczów</w:t>
      </w:r>
    </w:p>
    <w:p w14:paraId="16510025" w14:textId="77777777" w:rsidR="002906AD" w:rsidRPr="00E91F0B" w:rsidRDefault="002906AD" w:rsidP="002906AD">
      <w:pPr>
        <w:ind w:firstLine="284"/>
        <w:jc w:val="both"/>
        <w:rPr>
          <w:color w:val="000000"/>
        </w:rPr>
      </w:pPr>
    </w:p>
    <w:p w14:paraId="3C7F5060" w14:textId="77777777" w:rsidR="002906AD" w:rsidRPr="00E91F0B" w:rsidRDefault="002906AD" w:rsidP="002906AD">
      <w:pPr>
        <w:ind w:firstLine="284"/>
        <w:jc w:val="both"/>
        <w:rPr>
          <w:color w:val="000000"/>
        </w:rPr>
      </w:pPr>
      <w:r w:rsidRPr="00E91F0B">
        <w:rPr>
          <w:color w:val="000000"/>
        </w:rPr>
        <w:t>Wykonywanie nasypów należy przerwać, jeżeli wilgotność gruntu przekracza wartość dopuszczalną, to znaczy jest większa od wilgotności optymalnej o więcej niż 2 % jej wartości. Na warstwie gruntu nadmiernie zawilgoconego nie wolno układać następnej warstwy gruntu. Osuszenie można przeprowadzić w sposób mechaniczny lub chemiczny, poprzez wymieszanie z wapnem palonym albo hydratyzowanym.</w:t>
      </w:r>
    </w:p>
    <w:p w14:paraId="7B3B50E8" w14:textId="77777777" w:rsidR="002906AD" w:rsidRPr="00E91F0B" w:rsidRDefault="002906AD" w:rsidP="002906AD">
      <w:pPr>
        <w:ind w:firstLine="284"/>
        <w:jc w:val="both"/>
        <w:rPr>
          <w:color w:val="000000"/>
        </w:rPr>
      </w:pPr>
      <w:r w:rsidRPr="00E91F0B">
        <w:rPr>
          <w:color w:val="000000"/>
        </w:rPr>
        <w:t xml:space="preserve">W okresie deszczowym nie należy pozostawiać nie zagęszczonej warstwy do dnia następnego.  Jeżeli  warstwa  gruntu  niezagęszczonego uległa  </w:t>
      </w:r>
      <w:proofErr w:type="spellStart"/>
      <w:r w:rsidRPr="00E91F0B">
        <w:rPr>
          <w:color w:val="000000"/>
        </w:rPr>
        <w:t>przewilgoceniu</w:t>
      </w:r>
      <w:proofErr w:type="spellEnd"/>
      <w:r w:rsidRPr="00E91F0B">
        <w:rPr>
          <w:color w:val="000000"/>
        </w:rPr>
        <w:t>,  a Wykonawca  nie  jest  w stanie osuszyć jej i zagęścić w czasie zaakceptowanym przez Inżyniera, to może on nakazać Wykonawcy usunięcie wadliwej warstwy.</w:t>
      </w:r>
    </w:p>
    <w:p w14:paraId="2D9BD2E9" w14:textId="77777777" w:rsidR="002906AD" w:rsidRPr="00E91F0B" w:rsidRDefault="002906AD" w:rsidP="002906AD">
      <w:pPr>
        <w:ind w:firstLine="284"/>
        <w:jc w:val="both"/>
        <w:rPr>
          <w:color w:val="000000"/>
        </w:rPr>
      </w:pPr>
    </w:p>
    <w:p w14:paraId="4DF70D95" w14:textId="77777777" w:rsidR="002906AD" w:rsidRPr="00E91F0B" w:rsidRDefault="002906AD" w:rsidP="002906AD">
      <w:pPr>
        <w:ind w:firstLine="284"/>
        <w:jc w:val="both"/>
        <w:rPr>
          <w:color w:val="000000"/>
        </w:rPr>
      </w:pPr>
      <w:r w:rsidRPr="00E91F0B">
        <w:rPr>
          <w:b/>
          <w:color w:val="000000"/>
        </w:rPr>
        <w:t>5.5.</w:t>
      </w:r>
      <w:r w:rsidRPr="00E91F0B">
        <w:rPr>
          <w:color w:val="000000"/>
        </w:rPr>
        <w:t xml:space="preserve"> Zagęszczenie gruntu</w:t>
      </w:r>
    </w:p>
    <w:p w14:paraId="19D0FE46" w14:textId="77777777" w:rsidR="002906AD" w:rsidRPr="00E91F0B" w:rsidRDefault="002906AD" w:rsidP="002906AD">
      <w:pPr>
        <w:ind w:firstLine="284"/>
        <w:jc w:val="both"/>
        <w:rPr>
          <w:color w:val="000000"/>
        </w:rPr>
      </w:pPr>
    </w:p>
    <w:p w14:paraId="01B7818D" w14:textId="77777777" w:rsidR="002906AD" w:rsidRPr="00E91F0B" w:rsidRDefault="002906AD" w:rsidP="002906AD">
      <w:pPr>
        <w:ind w:firstLine="284"/>
        <w:jc w:val="both"/>
        <w:rPr>
          <w:color w:val="000000"/>
        </w:rPr>
      </w:pPr>
      <w:r w:rsidRPr="00E91F0B">
        <w:rPr>
          <w:b/>
          <w:color w:val="000000"/>
        </w:rPr>
        <w:t>5.5.1</w:t>
      </w:r>
      <w:r w:rsidRPr="00E91F0B">
        <w:rPr>
          <w:color w:val="000000"/>
        </w:rPr>
        <w:t xml:space="preserve"> Ogólne zasady zagęszczania gruntu</w:t>
      </w:r>
    </w:p>
    <w:p w14:paraId="77F1A196" w14:textId="77777777" w:rsidR="002906AD" w:rsidRPr="00E91F0B" w:rsidRDefault="002906AD" w:rsidP="002906AD">
      <w:pPr>
        <w:ind w:firstLine="284"/>
        <w:jc w:val="both"/>
        <w:rPr>
          <w:color w:val="000000"/>
        </w:rPr>
      </w:pPr>
    </w:p>
    <w:p w14:paraId="0BD0ED83" w14:textId="77777777" w:rsidR="002906AD" w:rsidRPr="00E91F0B" w:rsidRDefault="002906AD" w:rsidP="002906AD">
      <w:pPr>
        <w:ind w:firstLine="284"/>
        <w:jc w:val="both"/>
        <w:rPr>
          <w:color w:val="000000"/>
        </w:rPr>
      </w:pPr>
      <w:r w:rsidRPr="00E91F0B">
        <w:rPr>
          <w:color w:val="000000"/>
        </w:rPr>
        <w:t>Każda warstwa gruntu jak najszybciej po jej rozłożeniu, powinna być zagęszczona z zastosowaniem sprzętu odpowiedniego dla danego rodzaju gruntu oraz występujących warunków. Rozłożone warstwy gruntu należy zagęszczać od krawędzi w kierunku jego osi.</w:t>
      </w:r>
    </w:p>
    <w:p w14:paraId="693461ED" w14:textId="77777777" w:rsidR="002906AD" w:rsidRPr="00E91F0B" w:rsidRDefault="002906AD" w:rsidP="002906AD">
      <w:pPr>
        <w:ind w:firstLine="284"/>
        <w:jc w:val="both"/>
        <w:rPr>
          <w:color w:val="000000"/>
        </w:rPr>
      </w:pPr>
    </w:p>
    <w:p w14:paraId="199DA8CD" w14:textId="77777777" w:rsidR="002906AD" w:rsidRPr="00E91F0B" w:rsidRDefault="002906AD" w:rsidP="002906AD">
      <w:pPr>
        <w:ind w:firstLine="284"/>
        <w:jc w:val="both"/>
        <w:rPr>
          <w:color w:val="000000"/>
        </w:rPr>
      </w:pPr>
      <w:r w:rsidRPr="00E91F0B">
        <w:rPr>
          <w:b/>
          <w:color w:val="000000"/>
        </w:rPr>
        <w:t>5.5.2</w:t>
      </w:r>
      <w:r w:rsidRPr="00E91F0B">
        <w:rPr>
          <w:color w:val="000000"/>
        </w:rPr>
        <w:t xml:space="preserve"> Grubość warstwy</w:t>
      </w:r>
    </w:p>
    <w:p w14:paraId="506182EF" w14:textId="77777777" w:rsidR="002906AD" w:rsidRPr="00E91F0B" w:rsidRDefault="002906AD" w:rsidP="002906AD">
      <w:pPr>
        <w:ind w:firstLine="284"/>
        <w:jc w:val="both"/>
        <w:rPr>
          <w:color w:val="000000"/>
        </w:rPr>
      </w:pPr>
    </w:p>
    <w:p w14:paraId="47E8E915" w14:textId="77777777" w:rsidR="002906AD" w:rsidRPr="00E91F0B" w:rsidRDefault="002906AD" w:rsidP="002906AD">
      <w:pPr>
        <w:ind w:firstLine="284"/>
        <w:jc w:val="both"/>
        <w:rPr>
          <w:color w:val="000000"/>
        </w:rPr>
      </w:pPr>
      <w:r w:rsidRPr="00E91F0B">
        <w:rPr>
          <w:color w:val="000000"/>
        </w:rPr>
        <w:t>Grubość warstwy zagęszczonego gruntu oraz liczbę przejść maszyny zagęszczającej zaleca się określić doświadczalnie dla każdego rodzaju gruntu i typu maszyny.</w:t>
      </w:r>
    </w:p>
    <w:p w14:paraId="4D42B7CD" w14:textId="77777777" w:rsidR="002906AD" w:rsidRPr="00E91F0B" w:rsidRDefault="002906AD" w:rsidP="002906AD">
      <w:pPr>
        <w:ind w:firstLine="284"/>
        <w:jc w:val="both"/>
        <w:rPr>
          <w:color w:val="000000"/>
        </w:rPr>
      </w:pPr>
      <w:r w:rsidRPr="00E91F0B">
        <w:rPr>
          <w:color w:val="000000"/>
        </w:rPr>
        <w:t>Orientacyjne wartości, dotyczące grubości warstw różnych gruntów oraz liczby przejazdów różnych maszyn do zagęszczania podano w tablicy nr 1.</w:t>
      </w:r>
    </w:p>
    <w:p w14:paraId="1391FFE7" w14:textId="77777777" w:rsidR="002906AD" w:rsidRPr="00E91F0B" w:rsidRDefault="002906AD" w:rsidP="002906AD">
      <w:pPr>
        <w:ind w:firstLine="284"/>
        <w:jc w:val="both"/>
        <w:rPr>
          <w:color w:val="000000"/>
        </w:rPr>
      </w:pPr>
    </w:p>
    <w:p w14:paraId="6312FEE2" w14:textId="77777777" w:rsidR="002906AD" w:rsidRPr="00E91F0B" w:rsidRDefault="002906AD" w:rsidP="002906AD">
      <w:pPr>
        <w:ind w:firstLine="284"/>
        <w:jc w:val="both"/>
        <w:rPr>
          <w:color w:val="000000"/>
        </w:rPr>
      </w:pPr>
      <w:r w:rsidRPr="00E91F0B">
        <w:rPr>
          <w:b/>
          <w:color w:val="000000"/>
        </w:rPr>
        <w:t>5.5.3</w:t>
      </w:r>
      <w:r w:rsidRPr="00E91F0B">
        <w:rPr>
          <w:color w:val="000000"/>
        </w:rPr>
        <w:t xml:space="preserve"> Wilgotność gruntu</w:t>
      </w:r>
    </w:p>
    <w:p w14:paraId="6AC90641" w14:textId="77777777" w:rsidR="002906AD" w:rsidRPr="00E91F0B" w:rsidRDefault="002906AD" w:rsidP="002906AD">
      <w:pPr>
        <w:ind w:firstLine="284"/>
        <w:jc w:val="both"/>
        <w:rPr>
          <w:color w:val="000000"/>
        </w:rPr>
      </w:pPr>
      <w:r w:rsidRPr="00E91F0B">
        <w:rPr>
          <w:color w:val="000000"/>
        </w:rPr>
        <w:t>Wilgotność gruntu w czasie zagęszczania powinna być równa wilgotności optymalnej, z tolerancją od ±2 % jej wartości.</w:t>
      </w:r>
    </w:p>
    <w:p w14:paraId="3D01E9DE" w14:textId="77777777" w:rsidR="002906AD" w:rsidRPr="00E91F0B" w:rsidRDefault="002906AD" w:rsidP="002906AD">
      <w:pPr>
        <w:ind w:firstLine="284"/>
        <w:jc w:val="both"/>
        <w:rPr>
          <w:color w:val="000000"/>
        </w:rPr>
      </w:pPr>
      <w:r w:rsidRPr="00E91F0B">
        <w:rPr>
          <w:color w:val="000000"/>
        </w:rPr>
        <w:t>Jeżeli wilgotność naturalna gruntu jest niższa od wilgotności optymalnej o więcej niż 2,0 % jej wartości, to wilgotność gruntu należy zwiększyć przez dodanie wody.</w:t>
      </w:r>
    </w:p>
    <w:p w14:paraId="0D75C60A" w14:textId="77777777" w:rsidR="002906AD" w:rsidRPr="00E91F0B" w:rsidRDefault="002906AD" w:rsidP="002906AD">
      <w:pPr>
        <w:ind w:firstLine="284"/>
        <w:jc w:val="both"/>
        <w:rPr>
          <w:color w:val="000000"/>
        </w:rPr>
      </w:pPr>
      <w:r w:rsidRPr="00E91F0B">
        <w:rPr>
          <w:color w:val="000000"/>
        </w:rPr>
        <w:t xml:space="preserve">Jeżeli wilgotność gruntu jest wyższa od wilgotności optymalnej o ponad 2 % jej wartości, grunt należy osuszyć w sposób mechaniczny lub chemiczny, ewentualnie wykonać drenaż z warstwy gruntu przepuszczalnego. Sposób osuszenia </w:t>
      </w:r>
      <w:proofErr w:type="spellStart"/>
      <w:r w:rsidRPr="00E91F0B">
        <w:rPr>
          <w:color w:val="000000"/>
        </w:rPr>
        <w:t>przewilgoconego</w:t>
      </w:r>
      <w:proofErr w:type="spellEnd"/>
      <w:r w:rsidRPr="00E91F0B">
        <w:rPr>
          <w:color w:val="000000"/>
        </w:rPr>
        <w:t xml:space="preserve"> gruntu powinien być zaakceptowany przez Inżyniera.</w:t>
      </w:r>
    </w:p>
    <w:p w14:paraId="7A3B1FAF" w14:textId="77777777" w:rsidR="002906AD" w:rsidRPr="00E91F0B" w:rsidRDefault="002906AD" w:rsidP="002906AD">
      <w:pPr>
        <w:ind w:firstLine="284"/>
        <w:jc w:val="both"/>
        <w:rPr>
          <w:color w:val="000000"/>
        </w:rPr>
      </w:pPr>
      <w:r w:rsidRPr="00E91F0B">
        <w:rPr>
          <w:color w:val="000000"/>
        </w:rPr>
        <w:lastRenderedPageBreak/>
        <w:t>Sprawdzenie  wilgotności  gruntu  należy  przeprowadzać  laboratoryjnie,  z  częstotliwością określoną w punkcie 6.2.2 i 6.2.3.</w:t>
      </w:r>
    </w:p>
    <w:p w14:paraId="493B634D" w14:textId="77777777" w:rsidR="002906AD" w:rsidRPr="00E91F0B" w:rsidRDefault="002906AD" w:rsidP="002906AD">
      <w:pPr>
        <w:ind w:firstLine="284"/>
        <w:jc w:val="both"/>
        <w:rPr>
          <w:color w:val="000000"/>
        </w:rPr>
      </w:pPr>
    </w:p>
    <w:p w14:paraId="065D5C04" w14:textId="77777777" w:rsidR="002906AD" w:rsidRPr="00E91F0B" w:rsidRDefault="002906AD" w:rsidP="002906AD">
      <w:pPr>
        <w:ind w:firstLine="284"/>
        <w:jc w:val="both"/>
        <w:rPr>
          <w:color w:val="000000"/>
        </w:rPr>
      </w:pPr>
      <w:r w:rsidRPr="00E91F0B">
        <w:rPr>
          <w:b/>
          <w:color w:val="000000"/>
        </w:rPr>
        <w:t>5.5.3.</w:t>
      </w:r>
      <w:r w:rsidRPr="00E91F0B">
        <w:rPr>
          <w:color w:val="000000"/>
        </w:rPr>
        <w:t xml:space="preserve">  Wymagania dotyczące zagęszczania</w:t>
      </w:r>
    </w:p>
    <w:p w14:paraId="469FAD2A" w14:textId="77777777" w:rsidR="002906AD" w:rsidRPr="00E91F0B" w:rsidRDefault="002906AD" w:rsidP="002906AD">
      <w:pPr>
        <w:ind w:firstLine="284"/>
        <w:jc w:val="both"/>
        <w:rPr>
          <w:color w:val="000000"/>
        </w:rPr>
      </w:pPr>
    </w:p>
    <w:p w14:paraId="76C3086F" w14:textId="77777777" w:rsidR="002A1A93" w:rsidRPr="00E91F0B" w:rsidRDefault="002906AD" w:rsidP="002906AD">
      <w:pPr>
        <w:ind w:firstLine="284"/>
        <w:jc w:val="both"/>
        <w:rPr>
          <w:color w:val="000000"/>
        </w:rPr>
      </w:pPr>
      <w:r w:rsidRPr="00E91F0B">
        <w:rPr>
          <w:color w:val="000000"/>
        </w:rPr>
        <w:t xml:space="preserve">W zależności od uziarnienia stosowanych materiałów, zagęszczenie warstwy należy </w:t>
      </w:r>
      <w:proofErr w:type="spellStart"/>
      <w:r w:rsidRPr="00E91F0B">
        <w:rPr>
          <w:color w:val="000000"/>
        </w:rPr>
        <w:t>okre-ślać</w:t>
      </w:r>
      <w:proofErr w:type="spellEnd"/>
      <w:r w:rsidRPr="00E91F0B">
        <w:rPr>
          <w:color w:val="000000"/>
        </w:rPr>
        <w:t xml:space="preserve"> za pomocą oznaczenia wskaźnika zagęszczenia lub porównania pierwotnego i wtórnego modułu odkształcenia.</w:t>
      </w:r>
    </w:p>
    <w:p w14:paraId="332784E8" w14:textId="77777777" w:rsidR="002906AD" w:rsidRPr="00E91F0B" w:rsidRDefault="002906AD" w:rsidP="002906AD">
      <w:pPr>
        <w:ind w:firstLine="284"/>
        <w:jc w:val="both"/>
        <w:rPr>
          <w:color w:val="000000"/>
        </w:rPr>
      </w:pPr>
      <w:r w:rsidRPr="00E91F0B">
        <w:rPr>
          <w:color w:val="000000"/>
        </w:rPr>
        <w:t xml:space="preserve">Kontrolę zagęszczenia na podstawie porównania pierwotnego i wtórnego modułu </w:t>
      </w:r>
      <w:proofErr w:type="spellStart"/>
      <w:r w:rsidRPr="00E91F0B">
        <w:rPr>
          <w:color w:val="000000"/>
        </w:rPr>
        <w:t>odkształ-cenia</w:t>
      </w:r>
      <w:proofErr w:type="spellEnd"/>
      <w:r w:rsidRPr="00E91F0B">
        <w:rPr>
          <w:color w:val="000000"/>
        </w:rPr>
        <w:t xml:space="preserve">, określonych zgodnie z normą PN-S-02205:1998, należy stosować tylko dla gruntów gruboziarnistych,  dla  których  nie  jest  możliwe  określenie  wskaźnika  zagęszczenia  </w:t>
      </w:r>
      <w:proofErr w:type="spellStart"/>
      <w:r w:rsidRPr="00E91F0B">
        <w:rPr>
          <w:color w:val="000000"/>
        </w:rPr>
        <w:t>I</w:t>
      </w:r>
      <w:r w:rsidRPr="00E91F0B">
        <w:rPr>
          <w:color w:val="000000"/>
          <w:vertAlign w:val="subscript"/>
        </w:rPr>
        <w:t>s</w:t>
      </w:r>
      <w:proofErr w:type="spellEnd"/>
      <w:r w:rsidRPr="00E91F0B">
        <w:rPr>
          <w:color w:val="000000"/>
        </w:rPr>
        <w:t>,  według  BN-77/8931-12.</w:t>
      </w:r>
    </w:p>
    <w:p w14:paraId="0E22986B" w14:textId="77777777" w:rsidR="002A1A93" w:rsidRPr="00E91F0B" w:rsidRDefault="002906AD" w:rsidP="002906AD">
      <w:pPr>
        <w:ind w:firstLine="284"/>
        <w:jc w:val="both"/>
        <w:rPr>
          <w:color w:val="000000"/>
        </w:rPr>
      </w:pPr>
      <w:r w:rsidRPr="00E91F0B">
        <w:rPr>
          <w:color w:val="000000"/>
        </w:rPr>
        <w:t xml:space="preserve">Wskaźnik  zagęszczenia  gruntów,  określony  według  normy  BN-77/8931-12,  powinien  na całej szerokości korpusu spełniać </w:t>
      </w:r>
      <w:proofErr w:type="spellStart"/>
      <w:r w:rsidRPr="00E91F0B">
        <w:rPr>
          <w:color w:val="000000"/>
        </w:rPr>
        <w:t>I</w:t>
      </w:r>
      <w:r w:rsidRPr="00E91F0B">
        <w:rPr>
          <w:color w:val="000000"/>
          <w:vertAlign w:val="subscript"/>
        </w:rPr>
        <w:t>s</w:t>
      </w:r>
      <w:proofErr w:type="spellEnd"/>
      <w:r w:rsidRPr="00E91F0B">
        <w:rPr>
          <w:color w:val="000000"/>
        </w:rPr>
        <w:t>=1,0.</w:t>
      </w:r>
    </w:p>
    <w:p w14:paraId="603DF612" w14:textId="77777777" w:rsidR="002906AD" w:rsidRPr="00E91F0B" w:rsidRDefault="002906AD" w:rsidP="002906AD">
      <w:pPr>
        <w:ind w:firstLine="284"/>
        <w:jc w:val="both"/>
        <w:rPr>
          <w:color w:val="000000"/>
        </w:rPr>
      </w:pPr>
      <w:r w:rsidRPr="00E91F0B">
        <w:rPr>
          <w:color w:val="000000"/>
        </w:rPr>
        <w:t>Jako  zastępcze  kryterium  oceny  wymaganego  zagęszczenia  gruntów  dla  których  trudne jest pomierzenie wskaźnika zagęszczenia, przyjmuje się wartość wskaźnika odkształcenia I</w:t>
      </w:r>
      <w:r w:rsidRPr="00E91F0B">
        <w:rPr>
          <w:color w:val="000000"/>
          <w:vertAlign w:val="subscript"/>
        </w:rPr>
        <w:t>0</w:t>
      </w:r>
      <w:r w:rsidRPr="00E91F0B">
        <w:rPr>
          <w:color w:val="000000"/>
        </w:rPr>
        <w:t xml:space="preserve">  określonego zgodnie z normą PN-S-02205:1998. </w:t>
      </w:r>
    </w:p>
    <w:p w14:paraId="4415E908" w14:textId="77777777" w:rsidR="002906AD" w:rsidRPr="00E91F0B" w:rsidRDefault="002906AD" w:rsidP="002906AD">
      <w:pPr>
        <w:ind w:firstLine="284"/>
        <w:jc w:val="both"/>
        <w:rPr>
          <w:color w:val="000000"/>
        </w:rPr>
      </w:pPr>
      <w:r w:rsidRPr="00E91F0B">
        <w:rPr>
          <w:color w:val="000000"/>
        </w:rPr>
        <w:t>Wskaźnik odkształcenia nie powinien być większy niż:</w:t>
      </w:r>
    </w:p>
    <w:p w14:paraId="17999F3E" w14:textId="77777777" w:rsidR="002906AD" w:rsidRPr="00E91F0B" w:rsidRDefault="002906AD" w:rsidP="002906AD">
      <w:pPr>
        <w:ind w:firstLine="284"/>
        <w:jc w:val="both"/>
        <w:rPr>
          <w:color w:val="000000"/>
        </w:rPr>
      </w:pPr>
      <w:r w:rsidRPr="00E91F0B">
        <w:rPr>
          <w:color w:val="000000"/>
        </w:rPr>
        <w:t>a)  dla żwirów, pospółek i piasków</w:t>
      </w:r>
    </w:p>
    <w:p w14:paraId="7B7EBE00" w14:textId="77777777" w:rsidR="002906AD" w:rsidRPr="00E91F0B" w:rsidRDefault="002906AD" w:rsidP="002906AD">
      <w:pPr>
        <w:ind w:firstLine="284"/>
        <w:jc w:val="both"/>
        <w:rPr>
          <w:color w:val="000000"/>
        </w:rPr>
      </w:pPr>
      <w:r w:rsidRPr="00E91F0B">
        <w:rPr>
          <w:color w:val="000000"/>
        </w:rPr>
        <w:t xml:space="preserve">b)  2,2 przy wymaganej wartości </w:t>
      </w:r>
      <w:proofErr w:type="spellStart"/>
      <w:r w:rsidRPr="00E91F0B">
        <w:rPr>
          <w:color w:val="000000"/>
        </w:rPr>
        <w:t>Is</w:t>
      </w:r>
      <w:proofErr w:type="spellEnd"/>
      <w:r w:rsidRPr="00E91F0B">
        <w:rPr>
          <w:color w:val="000000"/>
        </w:rPr>
        <w:t xml:space="preserve"> ≥1,0,</w:t>
      </w:r>
    </w:p>
    <w:p w14:paraId="484BF3D8" w14:textId="77777777" w:rsidR="002906AD" w:rsidRPr="00E91F0B" w:rsidRDefault="002906AD" w:rsidP="002906AD">
      <w:pPr>
        <w:ind w:firstLine="284"/>
        <w:jc w:val="both"/>
        <w:rPr>
          <w:color w:val="000000"/>
        </w:rPr>
      </w:pPr>
      <w:r w:rsidRPr="00E91F0B">
        <w:rPr>
          <w:color w:val="000000"/>
        </w:rPr>
        <w:t xml:space="preserve">c)  2,5 przy wymaganej wartości </w:t>
      </w:r>
      <w:proofErr w:type="spellStart"/>
      <w:r w:rsidRPr="00E91F0B">
        <w:rPr>
          <w:color w:val="000000"/>
        </w:rPr>
        <w:t>Is</w:t>
      </w:r>
      <w:proofErr w:type="spellEnd"/>
      <w:r w:rsidRPr="00E91F0B">
        <w:rPr>
          <w:color w:val="000000"/>
        </w:rPr>
        <w:t xml:space="preserve"> ≥1,0,</w:t>
      </w:r>
    </w:p>
    <w:p w14:paraId="24D68A66" w14:textId="77777777" w:rsidR="002A1A93" w:rsidRPr="00E91F0B" w:rsidRDefault="002906AD" w:rsidP="002906AD">
      <w:pPr>
        <w:ind w:firstLine="284"/>
        <w:jc w:val="both"/>
        <w:rPr>
          <w:color w:val="000000"/>
        </w:rPr>
      </w:pPr>
      <w:r w:rsidRPr="00E91F0B">
        <w:rPr>
          <w:color w:val="000000"/>
        </w:rPr>
        <w:t>Jeżeli badania kontrolne wykażą, że zagęszczenie warstwy nie jest wystarczające, to Wykonawca  powinien  spulchnić  warstwę,  doprowadzić  grunt  do  wilgotności  optymalnej  i  powtórnie zagęścić.  Jeżeli  powtórne  zagęszczenie  nie  spowoduje  uzyskania  wymaganego  wskaźnika  zagęszczenia, Wykonawca powinien usunąć warstwę i wbudować nowy materiał, o ile Inżynier nie zezwoli na ponowienie próby prawidłowego zagęszczenia warstwy.</w:t>
      </w:r>
    </w:p>
    <w:p w14:paraId="5588383B" w14:textId="77777777" w:rsidR="00D41A81" w:rsidRPr="00E91F0B" w:rsidRDefault="00D41A81" w:rsidP="002906AD">
      <w:pPr>
        <w:ind w:firstLine="284"/>
        <w:jc w:val="both"/>
        <w:rPr>
          <w:color w:val="000000"/>
        </w:rPr>
      </w:pPr>
    </w:p>
    <w:p w14:paraId="65E20CB8" w14:textId="77777777" w:rsidR="00D41A81" w:rsidRPr="00E91F0B" w:rsidRDefault="00D41A81" w:rsidP="00D41A81">
      <w:pPr>
        <w:ind w:firstLine="284"/>
        <w:jc w:val="both"/>
        <w:rPr>
          <w:color w:val="000000"/>
        </w:rPr>
      </w:pPr>
      <w:r w:rsidRPr="00E91F0B">
        <w:rPr>
          <w:b/>
          <w:color w:val="000000"/>
        </w:rPr>
        <w:t>5.5.4.</w:t>
      </w:r>
      <w:r w:rsidRPr="00E91F0B">
        <w:rPr>
          <w:color w:val="000000"/>
        </w:rPr>
        <w:t xml:space="preserve">  Wywóz gruntu poza teren budowy</w:t>
      </w:r>
    </w:p>
    <w:p w14:paraId="2C0ECE27" w14:textId="77777777" w:rsidR="00D41A81" w:rsidRPr="00E91F0B" w:rsidRDefault="00D41A81" w:rsidP="002906AD">
      <w:pPr>
        <w:ind w:firstLine="284"/>
        <w:jc w:val="both"/>
        <w:rPr>
          <w:color w:val="000000"/>
        </w:rPr>
      </w:pPr>
    </w:p>
    <w:p w14:paraId="4F0789CE" w14:textId="77777777" w:rsidR="002906AD" w:rsidRPr="00E91F0B" w:rsidRDefault="00D41A81" w:rsidP="002A1A93">
      <w:pPr>
        <w:ind w:firstLine="284"/>
        <w:jc w:val="both"/>
        <w:rPr>
          <w:color w:val="000000"/>
        </w:rPr>
      </w:pPr>
      <w:r w:rsidRPr="00E91F0B">
        <w:rPr>
          <w:color w:val="000000"/>
        </w:rPr>
        <w:t xml:space="preserve">Wydobyty grunt należy wywieźć i zutylizować zgodnie z Ustawą z dnia 14 grudnia 2012 r. o odpadach, wraz z późniejszymi nowelizacjami. </w:t>
      </w:r>
    </w:p>
    <w:p w14:paraId="6F3E834B" w14:textId="77777777" w:rsidR="00D41A81" w:rsidRPr="00E91F0B" w:rsidRDefault="00D41A81" w:rsidP="002A1A93">
      <w:pPr>
        <w:ind w:firstLine="284"/>
        <w:jc w:val="both"/>
        <w:rPr>
          <w:color w:val="000000"/>
        </w:rPr>
      </w:pPr>
    </w:p>
    <w:p w14:paraId="4C3FBDD2" w14:textId="77777777" w:rsidR="002906AD" w:rsidRPr="00E91F0B" w:rsidRDefault="002906AD" w:rsidP="002A1A93">
      <w:pPr>
        <w:ind w:firstLine="284"/>
        <w:jc w:val="both"/>
        <w:rPr>
          <w:color w:val="000000"/>
        </w:rPr>
      </w:pPr>
    </w:p>
    <w:p w14:paraId="4461F895" w14:textId="77777777" w:rsidR="00093C51" w:rsidRPr="00E91F0B" w:rsidRDefault="00093C51" w:rsidP="00E55F61">
      <w:pPr>
        <w:ind w:left="284"/>
        <w:jc w:val="both"/>
        <w:rPr>
          <w:b/>
          <w:bCs/>
          <w:color w:val="000000"/>
        </w:rPr>
      </w:pPr>
      <w:r w:rsidRPr="00E91F0B">
        <w:rPr>
          <w:b/>
          <w:color w:val="000000"/>
        </w:rPr>
        <w:t>6.0 Kontrola jakości robót</w:t>
      </w:r>
    </w:p>
    <w:p w14:paraId="7D8A370E" w14:textId="77777777" w:rsidR="00093C51" w:rsidRPr="00E91F0B" w:rsidRDefault="00093C51" w:rsidP="00A9491C">
      <w:pPr>
        <w:ind w:firstLine="284"/>
        <w:jc w:val="both"/>
        <w:rPr>
          <w:color w:val="000000"/>
        </w:rPr>
      </w:pPr>
    </w:p>
    <w:p w14:paraId="3A6F0681" w14:textId="77777777" w:rsidR="00093C51" w:rsidRPr="00E91F0B" w:rsidRDefault="00093C51" w:rsidP="00E55F61">
      <w:pPr>
        <w:ind w:left="142" w:firstLine="284"/>
        <w:jc w:val="both"/>
        <w:rPr>
          <w:color w:val="000000"/>
        </w:rPr>
      </w:pPr>
      <w:r w:rsidRPr="00E91F0B">
        <w:rPr>
          <w:b/>
          <w:color w:val="000000"/>
        </w:rPr>
        <w:t>6.1</w:t>
      </w:r>
      <w:r w:rsidRPr="00E91F0B">
        <w:rPr>
          <w:color w:val="000000"/>
        </w:rPr>
        <w:t xml:space="preserve"> Ogólne zasady kontroli jakości robót</w:t>
      </w:r>
    </w:p>
    <w:p w14:paraId="5059446D" w14:textId="77777777" w:rsidR="00093C51" w:rsidRPr="00E91F0B" w:rsidRDefault="00093C51" w:rsidP="00A9491C">
      <w:pPr>
        <w:ind w:firstLine="284"/>
        <w:jc w:val="both"/>
        <w:rPr>
          <w:color w:val="000000"/>
        </w:rPr>
      </w:pPr>
    </w:p>
    <w:p w14:paraId="0BA2E0F8" w14:textId="77777777" w:rsidR="00093C51" w:rsidRPr="00E91F0B" w:rsidRDefault="00093C51" w:rsidP="00A9491C">
      <w:pPr>
        <w:ind w:firstLine="284"/>
        <w:jc w:val="both"/>
        <w:rPr>
          <w:color w:val="000000"/>
        </w:rPr>
      </w:pPr>
      <w:r w:rsidRPr="00E91F0B">
        <w:rPr>
          <w:color w:val="000000"/>
        </w:rPr>
        <w:t xml:space="preserve">Ogólne zasady kontroli jakości robót podano w ST D-M-00.00.00 „Wymagania ogólne”, pkt. </w:t>
      </w:r>
      <w:r w:rsidR="002906AD" w:rsidRPr="00E91F0B">
        <w:rPr>
          <w:color w:val="000000"/>
        </w:rPr>
        <w:t>6</w:t>
      </w:r>
    </w:p>
    <w:p w14:paraId="029D35A2" w14:textId="77777777" w:rsidR="00093C51" w:rsidRPr="00E91F0B" w:rsidRDefault="00093C51" w:rsidP="00A9491C">
      <w:pPr>
        <w:ind w:firstLine="284"/>
        <w:jc w:val="both"/>
        <w:rPr>
          <w:color w:val="000000"/>
        </w:rPr>
      </w:pPr>
    </w:p>
    <w:p w14:paraId="641F296B" w14:textId="77777777" w:rsidR="002906AD" w:rsidRPr="00E91F0B" w:rsidRDefault="002906AD" w:rsidP="002906AD">
      <w:pPr>
        <w:ind w:firstLine="284"/>
        <w:jc w:val="both"/>
        <w:rPr>
          <w:color w:val="000000"/>
        </w:rPr>
      </w:pPr>
      <w:r w:rsidRPr="00E91F0B">
        <w:rPr>
          <w:b/>
          <w:color w:val="000000"/>
        </w:rPr>
        <w:t>6.2.</w:t>
      </w:r>
      <w:r w:rsidRPr="00E91F0B">
        <w:rPr>
          <w:color w:val="000000"/>
        </w:rPr>
        <w:t xml:space="preserve"> Sprawdzenie jakości wykonania robót</w:t>
      </w:r>
    </w:p>
    <w:p w14:paraId="1A84D61A" w14:textId="77777777" w:rsidR="002906AD" w:rsidRPr="00E91F0B" w:rsidRDefault="002906AD" w:rsidP="002906AD">
      <w:pPr>
        <w:ind w:firstLine="284"/>
        <w:jc w:val="both"/>
        <w:rPr>
          <w:color w:val="000000"/>
        </w:rPr>
      </w:pPr>
    </w:p>
    <w:p w14:paraId="751660F5" w14:textId="77777777" w:rsidR="002906AD" w:rsidRPr="00E91F0B" w:rsidRDefault="002906AD" w:rsidP="002906AD">
      <w:pPr>
        <w:ind w:firstLine="284"/>
        <w:jc w:val="both"/>
        <w:rPr>
          <w:color w:val="000000"/>
        </w:rPr>
      </w:pPr>
      <w:r w:rsidRPr="00E91F0B">
        <w:rPr>
          <w:b/>
          <w:color w:val="000000"/>
        </w:rPr>
        <w:t>6.2.1.</w:t>
      </w:r>
      <w:r w:rsidRPr="00E91F0B">
        <w:rPr>
          <w:color w:val="000000"/>
        </w:rPr>
        <w:t xml:space="preserve"> Rodzaje badań i pomiarów</w:t>
      </w:r>
    </w:p>
    <w:p w14:paraId="76929C13" w14:textId="77777777" w:rsidR="002906AD" w:rsidRPr="00E91F0B" w:rsidRDefault="002906AD" w:rsidP="002906AD">
      <w:pPr>
        <w:ind w:firstLine="284"/>
        <w:jc w:val="both"/>
        <w:rPr>
          <w:color w:val="000000"/>
        </w:rPr>
      </w:pPr>
      <w:r w:rsidRPr="00E91F0B">
        <w:rPr>
          <w:color w:val="000000"/>
        </w:rPr>
        <w:t>Sprawdzenie jakości wykonania  robót  polega na kontrolowaniu zgodności z wymaganiami określonymi w p. 5.4 i 5.5 niniejszej specyfikacji i w dokumentacji projektowej.</w:t>
      </w:r>
    </w:p>
    <w:p w14:paraId="717A7584" w14:textId="77777777" w:rsidR="002906AD" w:rsidRPr="00E91F0B" w:rsidRDefault="002906AD" w:rsidP="002906AD">
      <w:pPr>
        <w:ind w:firstLine="284"/>
        <w:jc w:val="both"/>
        <w:rPr>
          <w:color w:val="000000"/>
        </w:rPr>
      </w:pPr>
      <w:r w:rsidRPr="00E91F0B">
        <w:rPr>
          <w:color w:val="000000"/>
        </w:rPr>
        <w:t>Szczególną uwagę należy zwrócić na:</w:t>
      </w:r>
    </w:p>
    <w:p w14:paraId="01FB4976" w14:textId="77777777" w:rsidR="002906AD" w:rsidRPr="00E91F0B" w:rsidRDefault="002906AD" w:rsidP="002906AD">
      <w:pPr>
        <w:ind w:firstLine="284"/>
        <w:jc w:val="both"/>
        <w:rPr>
          <w:color w:val="000000"/>
        </w:rPr>
      </w:pPr>
      <w:r w:rsidRPr="00E91F0B">
        <w:rPr>
          <w:color w:val="000000"/>
        </w:rPr>
        <w:t>a)  badania przydatności gruntów do wymiany gruntów,</w:t>
      </w:r>
    </w:p>
    <w:p w14:paraId="203DD4C3" w14:textId="77777777" w:rsidR="002906AD" w:rsidRPr="00E91F0B" w:rsidRDefault="002906AD" w:rsidP="002906AD">
      <w:pPr>
        <w:ind w:firstLine="284"/>
        <w:jc w:val="both"/>
        <w:rPr>
          <w:color w:val="000000"/>
        </w:rPr>
      </w:pPr>
      <w:r w:rsidRPr="00E91F0B">
        <w:rPr>
          <w:color w:val="000000"/>
        </w:rPr>
        <w:t>b)  badania prawidłowości wykonania poszczególnych warstw wymienianego gruntu,</w:t>
      </w:r>
    </w:p>
    <w:p w14:paraId="7F180CB6" w14:textId="77777777" w:rsidR="002906AD" w:rsidRPr="00E91F0B" w:rsidRDefault="002906AD" w:rsidP="002906AD">
      <w:pPr>
        <w:ind w:firstLine="284"/>
        <w:jc w:val="both"/>
        <w:rPr>
          <w:color w:val="000000"/>
        </w:rPr>
      </w:pPr>
      <w:r w:rsidRPr="00E91F0B">
        <w:rPr>
          <w:color w:val="000000"/>
        </w:rPr>
        <w:lastRenderedPageBreak/>
        <w:t>c)  badania zagęszczenia wymienianego gruntu,</w:t>
      </w:r>
    </w:p>
    <w:p w14:paraId="58ACAB16" w14:textId="77777777" w:rsidR="002906AD" w:rsidRPr="00E91F0B" w:rsidRDefault="002906AD" w:rsidP="002906AD">
      <w:pPr>
        <w:ind w:firstLine="284"/>
        <w:jc w:val="both"/>
        <w:rPr>
          <w:color w:val="000000"/>
        </w:rPr>
      </w:pPr>
    </w:p>
    <w:p w14:paraId="732C4654" w14:textId="77777777" w:rsidR="002906AD" w:rsidRPr="00E91F0B" w:rsidRDefault="002906AD" w:rsidP="002906AD">
      <w:pPr>
        <w:ind w:firstLine="284"/>
        <w:jc w:val="both"/>
        <w:rPr>
          <w:color w:val="000000"/>
        </w:rPr>
      </w:pPr>
      <w:r w:rsidRPr="00E91F0B">
        <w:rPr>
          <w:b/>
          <w:color w:val="000000"/>
        </w:rPr>
        <w:t>6.2.2</w:t>
      </w:r>
      <w:r w:rsidRPr="00E91F0B">
        <w:rPr>
          <w:color w:val="000000"/>
        </w:rPr>
        <w:t>. Badania kontrolne prawidłowości wykonania poszczególnych warstw wbudowywanego gruntu Badania  kontrolne  prawidłowości  wykonania  poszczególnych  warstw  wbudowywanego gruntu polegają na sprawdzeniu:</w:t>
      </w:r>
    </w:p>
    <w:p w14:paraId="0492EE78" w14:textId="77777777" w:rsidR="002906AD" w:rsidRPr="00E91F0B" w:rsidRDefault="002906AD" w:rsidP="002906AD">
      <w:pPr>
        <w:ind w:firstLine="284"/>
        <w:jc w:val="both"/>
        <w:rPr>
          <w:color w:val="000000"/>
        </w:rPr>
      </w:pPr>
      <w:r w:rsidRPr="00E91F0B">
        <w:rPr>
          <w:color w:val="000000"/>
        </w:rPr>
        <w:t>a)  prawidłowości rozmieszczenia gruntów o różnych właściwościach,</w:t>
      </w:r>
    </w:p>
    <w:p w14:paraId="13D31F14" w14:textId="77777777" w:rsidR="00093C51" w:rsidRPr="00E91F0B" w:rsidRDefault="002906AD" w:rsidP="002906AD">
      <w:pPr>
        <w:ind w:firstLine="284"/>
        <w:jc w:val="both"/>
        <w:rPr>
          <w:color w:val="000000"/>
        </w:rPr>
      </w:pPr>
      <w:r w:rsidRPr="00E91F0B">
        <w:rPr>
          <w:color w:val="000000"/>
        </w:rPr>
        <w:t>b)  odwodnienia każdej warstwy,</w:t>
      </w:r>
    </w:p>
    <w:p w14:paraId="255BFF8F" w14:textId="77777777" w:rsidR="002906AD" w:rsidRPr="00E91F0B" w:rsidRDefault="002906AD" w:rsidP="002906AD">
      <w:pPr>
        <w:ind w:firstLine="284"/>
        <w:jc w:val="both"/>
        <w:rPr>
          <w:color w:val="000000"/>
        </w:rPr>
      </w:pPr>
      <w:r w:rsidRPr="00E91F0B">
        <w:rPr>
          <w:color w:val="000000"/>
        </w:rPr>
        <w:t>c)  grubości każdej warstwy i jej wilgotności przy zagęszczaniu; badania należy przeprowadzić nie rzadziej niż jeden raz na 100 m</w:t>
      </w:r>
      <w:r w:rsidRPr="00E91F0B">
        <w:rPr>
          <w:color w:val="000000"/>
          <w:vertAlign w:val="superscript"/>
        </w:rPr>
        <w:t>2</w:t>
      </w:r>
      <w:r w:rsidRPr="00E91F0B">
        <w:rPr>
          <w:color w:val="000000"/>
        </w:rPr>
        <w:t xml:space="preserve"> warstwy,</w:t>
      </w:r>
    </w:p>
    <w:p w14:paraId="5567DAC1" w14:textId="77777777" w:rsidR="002906AD" w:rsidRPr="00E91F0B" w:rsidRDefault="002906AD" w:rsidP="002906AD">
      <w:pPr>
        <w:ind w:firstLine="284"/>
        <w:jc w:val="both"/>
        <w:rPr>
          <w:color w:val="000000"/>
        </w:rPr>
      </w:pPr>
      <w:r w:rsidRPr="00E91F0B">
        <w:rPr>
          <w:color w:val="000000"/>
        </w:rPr>
        <w:t xml:space="preserve">d)  przestrzegania ograniczeń określonych w p. 5.2.2 oraz 5.4.2 </w:t>
      </w:r>
    </w:p>
    <w:p w14:paraId="0C3FF4BC" w14:textId="77777777" w:rsidR="002906AD" w:rsidRPr="00E91F0B" w:rsidRDefault="002906AD" w:rsidP="002906AD">
      <w:pPr>
        <w:ind w:firstLine="284"/>
        <w:jc w:val="both"/>
        <w:rPr>
          <w:color w:val="000000"/>
        </w:rPr>
      </w:pPr>
    </w:p>
    <w:p w14:paraId="0C9C82E0" w14:textId="77777777" w:rsidR="002906AD" w:rsidRPr="00E91F0B" w:rsidRDefault="002906AD" w:rsidP="002906AD">
      <w:pPr>
        <w:ind w:firstLine="284"/>
        <w:jc w:val="both"/>
        <w:rPr>
          <w:color w:val="000000"/>
        </w:rPr>
      </w:pPr>
      <w:r w:rsidRPr="00E91F0B">
        <w:rPr>
          <w:b/>
          <w:color w:val="000000"/>
        </w:rPr>
        <w:t>6.2.3</w:t>
      </w:r>
      <w:r w:rsidRPr="00E91F0B">
        <w:rPr>
          <w:color w:val="000000"/>
        </w:rPr>
        <w:t>. Sprawdzenie zagęszczenia oraz podłoża wbudowywanego gruntu</w:t>
      </w:r>
    </w:p>
    <w:p w14:paraId="6B559627" w14:textId="77777777" w:rsidR="002906AD" w:rsidRPr="00E91F0B" w:rsidRDefault="002906AD" w:rsidP="002906AD">
      <w:pPr>
        <w:ind w:firstLine="284"/>
        <w:jc w:val="both"/>
        <w:rPr>
          <w:color w:val="000000"/>
        </w:rPr>
      </w:pPr>
    </w:p>
    <w:p w14:paraId="4D6E3AA5" w14:textId="77777777" w:rsidR="002906AD" w:rsidRPr="00E91F0B" w:rsidRDefault="002906AD" w:rsidP="002906AD">
      <w:pPr>
        <w:ind w:firstLine="284"/>
        <w:jc w:val="both"/>
        <w:rPr>
          <w:color w:val="000000"/>
        </w:rPr>
      </w:pPr>
      <w:r w:rsidRPr="00E91F0B">
        <w:rPr>
          <w:color w:val="000000"/>
        </w:rPr>
        <w:t xml:space="preserve">Sprawdzenie zagęszczenia n oraz podłoża  wbudowywanego gruntu  polega na skontrolowaniu zgodności wartości wskaźnika zagęszczenia </w:t>
      </w:r>
      <w:proofErr w:type="spellStart"/>
      <w:r w:rsidRPr="00E91F0B">
        <w:rPr>
          <w:color w:val="000000"/>
        </w:rPr>
        <w:t>I</w:t>
      </w:r>
      <w:r w:rsidRPr="00E91F0B">
        <w:rPr>
          <w:color w:val="000000"/>
          <w:vertAlign w:val="subscript"/>
        </w:rPr>
        <w:t>s</w:t>
      </w:r>
      <w:proofErr w:type="spellEnd"/>
      <w:r w:rsidRPr="00E91F0B">
        <w:rPr>
          <w:color w:val="000000"/>
        </w:rPr>
        <w:t xml:space="preserve">  lub stosunku modułów odkształcenia z wartościami określonymi w p. 5.3 i p. 5.5.3. Do bieżącej kontroli zagęszczenia dopuszcza się aparaty izotopowe.</w:t>
      </w:r>
    </w:p>
    <w:p w14:paraId="18CCBC1D" w14:textId="77777777" w:rsidR="002906AD" w:rsidRPr="00E91F0B" w:rsidRDefault="002906AD" w:rsidP="002906AD">
      <w:pPr>
        <w:ind w:firstLine="284"/>
        <w:jc w:val="both"/>
        <w:rPr>
          <w:color w:val="000000"/>
        </w:rPr>
      </w:pPr>
      <w:r w:rsidRPr="00E91F0B">
        <w:rPr>
          <w:color w:val="000000"/>
        </w:rPr>
        <w:t xml:space="preserve">Oznaczenie wskaźnika zagęszczenia </w:t>
      </w:r>
      <w:proofErr w:type="spellStart"/>
      <w:r w:rsidRPr="00E91F0B">
        <w:rPr>
          <w:color w:val="000000"/>
        </w:rPr>
        <w:t>I</w:t>
      </w:r>
      <w:r w:rsidRPr="00E91F0B">
        <w:rPr>
          <w:color w:val="000000"/>
          <w:vertAlign w:val="subscript"/>
        </w:rPr>
        <w:t>s</w:t>
      </w:r>
      <w:proofErr w:type="spellEnd"/>
      <w:r w:rsidRPr="00E91F0B">
        <w:rPr>
          <w:color w:val="000000"/>
        </w:rPr>
        <w:t xml:space="preserve"> powinno być przeprowadzone według normy BN-77/8931-12, oznaczenie modułów odkształcenia według normy BN-64/8931-02.</w:t>
      </w:r>
    </w:p>
    <w:p w14:paraId="015954CB" w14:textId="77777777" w:rsidR="002906AD" w:rsidRPr="00E91F0B" w:rsidRDefault="002906AD" w:rsidP="002906AD">
      <w:pPr>
        <w:ind w:firstLine="284"/>
        <w:jc w:val="both"/>
        <w:rPr>
          <w:color w:val="000000"/>
        </w:rPr>
      </w:pPr>
      <w:r w:rsidRPr="00E91F0B">
        <w:rPr>
          <w:color w:val="000000"/>
        </w:rPr>
        <w:t>Zagęszczenie każdej warstwy należy kontrolować nie rzadziej niż:</w:t>
      </w:r>
    </w:p>
    <w:p w14:paraId="5B16A252" w14:textId="77777777" w:rsidR="002906AD" w:rsidRPr="00E91F0B" w:rsidRDefault="002906AD" w:rsidP="002906AD">
      <w:pPr>
        <w:ind w:firstLine="284"/>
        <w:jc w:val="both"/>
        <w:rPr>
          <w:color w:val="000000"/>
        </w:rPr>
      </w:pPr>
      <w:r w:rsidRPr="00E91F0B">
        <w:rPr>
          <w:color w:val="000000"/>
        </w:rPr>
        <w:t>-  jeden raz w trzech punktach na 50 m</w:t>
      </w:r>
      <w:r w:rsidRPr="00E91F0B">
        <w:rPr>
          <w:color w:val="000000"/>
          <w:vertAlign w:val="superscript"/>
        </w:rPr>
        <w:t>2</w:t>
      </w:r>
      <w:r w:rsidRPr="00E91F0B">
        <w:rPr>
          <w:color w:val="000000"/>
        </w:rPr>
        <w:t xml:space="preserve"> warstwy, w przypadku określenia wartości </w:t>
      </w:r>
      <w:proofErr w:type="spellStart"/>
      <w:r w:rsidRPr="00E91F0B">
        <w:rPr>
          <w:color w:val="000000"/>
        </w:rPr>
        <w:t>I</w:t>
      </w:r>
      <w:r w:rsidRPr="00E91F0B">
        <w:rPr>
          <w:color w:val="000000"/>
          <w:vertAlign w:val="subscript"/>
        </w:rPr>
        <w:t>s</w:t>
      </w:r>
      <w:proofErr w:type="spellEnd"/>
      <w:r w:rsidRPr="00E91F0B">
        <w:rPr>
          <w:color w:val="000000"/>
        </w:rPr>
        <w:t>,</w:t>
      </w:r>
    </w:p>
    <w:p w14:paraId="0E5E14EF" w14:textId="77777777" w:rsidR="002906AD" w:rsidRPr="00E91F0B" w:rsidRDefault="002906AD" w:rsidP="002906AD">
      <w:pPr>
        <w:ind w:firstLine="284"/>
        <w:jc w:val="both"/>
        <w:rPr>
          <w:color w:val="000000"/>
        </w:rPr>
      </w:pPr>
      <w:r w:rsidRPr="00E91F0B">
        <w:rPr>
          <w:color w:val="000000"/>
        </w:rPr>
        <w:t>-  jeden raz w trzech punktach na  200 m</w:t>
      </w:r>
      <w:r w:rsidRPr="00E91F0B">
        <w:rPr>
          <w:color w:val="000000"/>
          <w:vertAlign w:val="superscript"/>
        </w:rPr>
        <w:t>2</w:t>
      </w:r>
      <w:r w:rsidRPr="00E91F0B">
        <w:rPr>
          <w:color w:val="000000"/>
        </w:rPr>
        <w:t xml:space="preserve"> warstwy w przypadku określenia pierwotnego i wtórnego modułu odkształcenia.</w:t>
      </w:r>
    </w:p>
    <w:p w14:paraId="4A55DE67" w14:textId="77777777" w:rsidR="002906AD" w:rsidRPr="00E91F0B" w:rsidRDefault="002906AD" w:rsidP="002906AD">
      <w:pPr>
        <w:ind w:firstLine="284"/>
        <w:jc w:val="both"/>
        <w:rPr>
          <w:color w:val="000000"/>
        </w:rPr>
      </w:pPr>
      <w:r w:rsidRPr="00E91F0B">
        <w:rPr>
          <w:color w:val="000000"/>
        </w:rPr>
        <w:t>Wyniki kontroli zagęszczenia robót Wykonawca powinien wpisywać do dokumentów laboratoryjnych.  Prawidłowość  zagęszczenia  konkretnej  warstwy  wbudowywanego  gruntu  lub  podłoża pod nim powinna być potwierdzona przez Inżyniera wpisem w dzienniku budowy.</w:t>
      </w:r>
    </w:p>
    <w:p w14:paraId="5B41FD7E" w14:textId="77777777" w:rsidR="002906AD" w:rsidRPr="00E91F0B" w:rsidRDefault="002906AD" w:rsidP="00A9491C">
      <w:pPr>
        <w:ind w:firstLine="284"/>
        <w:jc w:val="both"/>
        <w:rPr>
          <w:color w:val="000000"/>
        </w:rPr>
      </w:pPr>
    </w:p>
    <w:p w14:paraId="0DA6B014" w14:textId="77777777" w:rsidR="00093C51" w:rsidRPr="00E91F0B" w:rsidRDefault="00093C51" w:rsidP="00A9491C">
      <w:pPr>
        <w:ind w:firstLine="284"/>
        <w:jc w:val="both"/>
        <w:rPr>
          <w:b/>
          <w:color w:val="000000"/>
        </w:rPr>
      </w:pPr>
    </w:p>
    <w:p w14:paraId="4EBDB8EB" w14:textId="77777777" w:rsidR="00093C51" w:rsidRPr="00E91F0B" w:rsidRDefault="00093C51" w:rsidP="00E55F61">
      <w:pPr>
        <w:ind w:left="284"/>
        <w:jc w:val="both"/>
        <w:rPr>
          <w:b/>
          <w:bCs/>
          <w:color w:val="000000"/>
        </w:rPr>
      </w:pPr>
      <w:r w:rsidRPr="00E91F0B">
        <w:rPr>
          <w:b/>
          <w:color w:val="000000"/>
        </w:rPr>
        <w:t>7.0 Obmiar robót</w:t>
      </w:r>
    </w:p>
    <w:p w14:paraId="5F6BFE6A" w14:textId="77777777" w:rsidR="00093C51" w:rsidRPr="00E91F0B" w:rsidRDefault="00093C51" w:rsidP="00A9491C">
      <w:pPr>
        <w:ind w:firstLine="284"/>
        <w:jc w:val="both"/>
        <w:rPr>
          <w:b/>
          <w:bCs/>
          <w:color w:val="000000"/>
        </w:rPr>
      </w:pPr>
    </w:p>
    <w:p w14:paraId="4D0C09B0" w14:textId="77777777" w:rsidR="00093C51" w:rsidRPr="00E91F0B" w:rsidRDefault="00093C51" w:rsidP="00E55F61">
      <w:pPr>
        <w:ind w:left="284"/>
        <w:jc w:val="both"/>
        <w:rPr>
          <w:b/>
          <w:color w:val="000000"/>
        </w:rPr>
      </w:pPr>
      <w:r w:rsidRPr="00E91F0B">
        <w:rPr>
          <w:b/>
          <w:color w:val="000000"/>
        </w:rPr>
        <w:t xml:space="preserve">7.1 Ogólne zasady obmiaru robót podano w D.00.00.00. </w:t>
      </w:r>
    </w:p>
    <w:p w14:paraId="61DC9554" w14:textId="77777777" w:rsidR="00093C51" w:rsidRPr="00E91F0B" w:rsidRDefault="00093C51" w:rsidP="00E55F61">
      <w:pPr>
        <w:ind w:left="284"/>
        <w:jc w:val="both"/>
        <w:rPr>
          <w:color w:val="000000"/>
        </w:rPr>
      </w:pPr>
    </w:p>
    <w:p w14:paraId="6659A309" w14:textId="77777777" w:rsidR="00093C51" w:rsidRPr="00E91F0B" w:rsidRDefault="00093C51" w:rsidP="00E55F61">
      <w:pPr>
        <w:ind w:left="284"/>
        <w:jc w:val="both"/>
        <w:rPr>
          <w:color w:val="000000"/>
        </w:rPr>
      </w:pPr>
      <w:r w:rsidRPr="00E91F0B">
        <w:rPr>
          <w:color w:val="000000"/>
        </w:rPr>
        <w:t>Ogólne wymagania dotyczące obmiaru robót podano w ST D-M-00.00.00 „Wymagania ogólne” pkt. 7.</w:t>
      </w:r>
    </w:p>
    <w:p w14:paraId="17D08336" w14:textId="77777777" w:rsidR="002906AD" w:rsidRPr="00E91F0B" w:rsidRDefault="002906AD" w:rsidP="00E55F61">
      <w:pPr>
        <w:ind w:left="284"/>
        <w:jc w:val="both"/>
        <w:rPr>
          <w:color w:val="000000"/>
        </w:rPr>
      </w:pPr>
    </w:p>
    <w:p w14:paraId="35467A85" w14:textId="77777777" w:rsidR="00093C51" w:rsidRPr="00E91F0B" w:rsidRDefault="00093C51" w:rsidP="00E55F61">
      <w:pPr>
        <w:ind w:left="284"/>
        <w:jc w:val="both"/>
        <w:rPr>
          <w:color w:val="000000"/>
        </w:rPr>
      </w:pPr>
    </w:p>
    <w:p w14:paraId="6BD71A3A" w14:textId="77777777" w:rsidR="00093C51" w:rsidRPr="00E91F0B" w:rsidRDefault="002906AD" w:rsidP="00E55F61">
      <w:pPr>
        <w:ind w:left="284"/>
        <w:jc w:val="both"/>
        <w:rPr>
          <w:b/>
          <w:color w:val="000000"/>
        </w:rPr>
      </w:pPr>
      <w:r w:rsidRPr="00E91F0B">
        <w:rPr>
          <w:b/>
          <w:color w:val="000000"/>
        </w:rPr>
        <w:t>7.2 Jednostka obmiarowa</w:t>
      </w:r>
      <w:r w:rsidR="00093C51" w:rsidRPr="00E91F0B">
        <w:rPr>
          <w:b/>
          <w:color w:val="000000"/>
        </w:rPr>
        <w:t xml:space="preserve"> </w:t>
      </w:r>
    </w:p>
    <w:p w14:paraId="36162213" w14:textId="77777777" w:rsidR="002906AD" w:rsidRPr="00E91F0B" w:rsidRDefault="002906AD" w:rsidP="002906AD">
      <w:pPr>
        <w:ind w:left="284"/>
        <w:jc w:val="both"/>
        <w:rPr>
          <w:color w:val="000000"/>
        </w:rPr>
      </w:pPr>
      <w:r w:rsidRPr="00E91F0B">
        <w:rPr>
          <w:color w:val="000000"/>
        </w:rPr>
        <w:t>Obmiar robót należy wykonać w m</w:t>
      </w:r>
      <w:r w:rsidRPr="00E91F0B">
        <w:rPr>
          <w:color w:val="000000"/>
          <w:vertAlign w:val="superscript"/>
        </w:rPr>
        <w:t>3</w:t>
      </w:r>
      <w:r w:rsidRPr="00E91F0B">
        <w:rPr>
          <w:color w:val="000000"/>
        </w:rPr>
        <w:t>.</w:t>
      </w:r>
    </w:p>
    <w:p w14:paraId="0A260840" w14:textId="77777777" w:rsidR="00D143D2" w:rsidRPr="00E91F0B" w:rsidRDefault="00D143D2" w:rsidP="002906AD">
      <w:pPr>
        <w:ind w:left="284"/>
        <w:jc w:val="both"/>
        <w:rPr>
          <w:color w:val="000000"/>
        </w:rPr>
      </w:pPr>
    </w:p>
    <w:p w14:paraId="70172E74" w14:textId="77777777" w:rsidR="00093C51" w:rsidRPr="00E91F0B" w:rsidRDefault="00093C51" w:rsidP="00E55F61">
      <w:pPr>
        <w:ind w:firstLine="284"/>
        <w:jc w:val="both"/>
        <w:rPr>
          <w:b/>
          <w:bCs/>
          <w:color w:val="000000"/>
        </w:rPr>
      </w:pPr>
      <w:r w:rsidRPr="00E91F0B">
        <w:rPr>
          <w:b/>
          <w:color w:val="000000"/>
        </w:rPr>
        <w:t>8.0 Odbiór robót</w:t>
      </w:r>
    </w:p>
    <w:p w14:paraId="445E029D" w14:textId="77777777" w:rsidR="00093C51" w:rsidRPr="00E91F0B" w:rsidRDefault="00093C51" w:rsidP="00A9491C">
      <w:pPr>
        <w:ind w:firstLine="284"/>
        <w:jc w:val="both"/>
        <w:rPr>
          <w:b/>
          <w:color w:val="000000"/>
        </w:rPr>
      </w:pPr>
    </w:p>
    <w:p w14:paraId="65971F38" w14:textId="77777777" w:rsidR="00093C51" w:rsidRPr="00E91F0B" w:rsidRDefault="002906AD" w:rsidP="00492542">
      <w:pPr>
        <w:pStyle w:val="Akapitzlist"/>
        <w:ind w:left="0" w:firstLine="709"/>
        <w:jc w:val="both"/>
      </w:pPr>
      <w:r w:rsidRPr="00E91F0B">
        <w:t xml:space="preserve">Ogólne zasady odbioru </w:t>
      </w:r>
      <w:proofErr w:type="spellStart"/>
      <w:r w:rsidRPr="00E91F0B">
        <w:t>roót</w:t>
      </w:r>
      <w:proofErr w:type="spellEnd"/>
      <w:r w:rsidRPr="00E91F0B">
        <w:t xml:space="preserve"> podano w ST D-M-00.00.00 „Wymagania ogólne” pkt. 8.</w:t>
      </w:r>
    </w:p>
    <w:p w14:paraId="71958D8B" w14:textId="77777777" w:rsidR="00093C51" w:rsidRPr="00E91F0B" w:rsidRDefault="00093C51" w:rsidP="00492542">
      <w:pPr>
        <w:pStyle w:val="Akapitzlist"/>
        <w:ind w:left="0" w:firstLine="709"/>
        <w:jc w:val="both"/>
      </w:pPr>
      <w:r w:rsidRPr="00E91F0B">
        <w:t>Roboty uznaje się za wykonane zgodnie z Dokumentacją Projektową, ST i wymaganiami Inżyniera, jeżeli wszystkie pomiary i badania dały wyniki pozytywne.</w:t>
      </w:r>
    </w:p>
    <w:p w14:paraId="11640469" w14:textId="77777777" w:rsidR="00093C51" w:rsidRPr="00E91F0B" w:rsidRDefault="00093C51" w:rsidP="00A9491C">
      <w:pPr>
        <w:ind w:firstLine="284"/>
        <w:jc w:val="both"/>
        <w:rPr>
          <w:color w:val="000000"/>
        </w:rPr>
      </w:pPr>
    </w:p>
    <w:p w14:paraId="4509EDCF" w14:textId="77777777" w:rsidR="00093C51" w:rsidRPr="00E91F0B" w:rsidRDefault="00093C51" w:rsidP="00A9491C">
      <w:pPr>
        <w:ind w:firstLine="284"/>
        <w:jc w:val="both"/>
        <w:rPr>
          <w:b/>
          <w:color w:val="000000"/>
        </w:rPr>
      </w:pPr>
      <w:r w:rsidRPr="00E91F0B">
        <w:rPr>
          <w:b/>
          <w:color w:val="000000"/>
        </w:rPr>
        <w:t>9.0 Podstawa płatności</w:t>
      </w:r>
    </w:p>
    <w:p w14:paraId="28F50AD9" w14:textId="77777777" w:rsidR="00093C51" w:rsidRPr="00E91F0B" w:rsidRDefault="00093C51" w:rsidP="00611DCB">
      <w:pPr>
        <w:jc w:val="both"/>
        <w:rPr>
          <w:color w:val="000000"/>
        </w:rPr>
      </w:pPr>
    </w:p>
    <w:p w14:paraId="5BADE8D8" w14:textId="77777777" w:rsidR="002906AD" w:rsidRPr="00E91F0B" w:rsidRDefault="002906AD" w:rsidP="002906AD">
      <w:pPr>
        <w:jc w:val="both"/>
        <w:rPr>
          <w:color w:val="000000"/>
        </w:rPr>
      </w:pPr>
      <w:r w:rsidRPr="00E91F0B">
        <w:rPr>
          <w:b/>
          <w:color w:val="000000"/>
        </w:rPr>
        <w:t xml:space="preserve">     9.1.</w:t>
      </w:r>
      <w:r w:rsidRPr="00E91F0B">
        <w:rPr>
          <w:color w:val="000000"/>
        </w:rPr>
        <w:t xml:space="preserve"> Ogólne ustalenia dotyczące podstawy płatności</w:t>
      </w:r>
    </w:p>
    <w:p w14:paraId="39CA8148" w14:textId="77777777" w:rsidR="002906AD" w:rsidRPr="00E91F0B" w:rsidRDefault="002906AD" w:rsidP="002906AD">
      <w:pPr>
        <w:jc w:val="both"/>
        <w:rPr>
          <w:color w:val="000000"/>
        </w:rPr>
      </w:pPr>
      <w:r w:rsidRPr="00E91F0B">
        <w:rPr>
          <w:color w:val="000000"/>
        </w:rPr>
        <w:lastRenderedPageBreak/>
        <w:t>Ogólne ustalenia dotyczące podstawy płatności podano w ST D-M-00.00.00 „Wymagania ogólne” pkt 9.</w:t>
      </w:r>
    </w:p>
    <w:p w14:paraId="28CE86B1" w14:textId="77777777" w:rsidR="002906AD" w:rsidRPr="00E91F0B" w:rsidRDefault="002906AD" w:rsidP="002906AD">
      <w:pPr>
        <w:jc w:val="both"/>
        <w:rPr>
          <w:color w:val="000000"/>
        </w:rPr>
      </w:pPr>
    </w:p>
    <w:p w14:paraId="1611FE7C" w14:textId="77777777" w:rsidR="002906AD" w:rsidRPr="00E91F0B" w:rsidRDefault="002906AD" w:rsidP="002906AD">
      <w:pPr>
        <w:jc w:val="both"/>
        <w:rPr>
          <w:color w:val="000000"/>
        </w:rPr>
      </w:pPr>
      <w:r w:rsidRPr="00E91F0B">
        <w:rPr>
          <w:color w:val="000000"/>
        </w:rPr>
        <w:t xml:space="preserve">    </w:t>
      </w:r>
      <w:r w:rsidRPr="00E91F0B">
        <w:rPr>
          <w:b/>
          <w:color w:val="000000"/>
        </w:rPr>
        <w:t>9.2</w:t>
      </w:r>
      <w:r w:rsidRPr="00E91F0B">
        <w:rPr>
          <w:color w:val="000000"/>
        </w:rPr>
        <w:t xml:space="preserve"> Cena jednostki obmiarowej</w:t>
      </w:r>
    </w:p>
    <w:p w14:paraId="4B5C87C7" w14:textId="77777777" w:rsidR="002906AD" w:rsidRPr="00E91F0B" w:rsidRDefault="002906AD" w:rsidP="002906AD">
      <w:pPr>
        <w:jc w:val="both"/>
        <w:rPr>
          <w:color w:val="000000"/>
        </w:rPr>
      </w:pPr>
      <w:r w:rsidRPr="00E91F0B">
        <w:rPr>
          <w:color w:val="000000"/>
        </w:rPr>
        <w:t>Cena wykonania 1 m3</w:t>
      </w:r>
    </w:p>
    <w:p w14:paraId="37D1C7FE" w14:textId="77777777" w:rsidR="002906AD" w:rsidRPr="00E91F0B" w:rsidRDefault="002906AD" w:rsidP="002906AD">
      <w:pPr>
        <w:jc w:val="both"/>
        <w:rPr>
          <w:color w:val="000000"/>
        </w:rPr>
      </w:pPr>
      <w:r w:rsidRPr="00E91F0B">
        <w:rPr>
          <w:color w:val="000000"/>
        </w:rPr>
        <w:t>wymiany gruntu obejmuje:</w:t>
      </w:r>
    </w:p>
    <w:p w14:paraId="05F227EE" w14:textId="77777777" w:rsidR="00D41A81" w:rsidRPr="00E91F0B" w:rsidRDefault="00D41A81" w:rsidP="002906AD">
      <w:pPr>
        <w:jc w:val="both"/>
        <w:rPr>
          <w:color w:val="000000"/>
        </w:rPr>
      </w:pPr>
      <w:r w:rsidRPr="00E91F0B">
        <w:rPr>
          <w:color w:val="000000"/>
        </w:rPr>
        <w:t>- wykonanie projektu technologicznego</w:t>
      </w:r>
    </w:p>
    <w:p w14:paraId="35F281F8" w14:textId="77777777" w:rsidR="002906AD" w:rsidRPr="00E91F0B" w:rsidRDefault="002906AD" w:rsidP="002906AD">
      <w:pPr>
        <w:jc w:val="both"/>
        <w:rPr>
          <w:color w:val="000000"/>
        </w:rPr>
      </w:pPr>
      <w:r w:rsidRPr="00E91F0B">
        <w:rPr>
          <w:color w:val="000000"/>
        </w:rPr>
        <w:t>- prace pomiarowe,</w:t>
      </w:r>
    </w:p>
    <w:p w14:paraId="3370DCE3" w14:textId="77777777" w:rsidR="002906AD" w:rsidRPr="00E91F0B" w:rsidRDefault="002906AD" w:rsidP="002906AD">
      <w:pPr>
        <w:jc w:val="both"/>
        <w:rPr>
          <w:color w:val="000000"/>
        </w:rPr>
      </w:pPr>
      <w:r w:rsidRPr="00E91F0B">
        <w:rPr>
          <w:color w:val="000000"/>
        </w:rPr>
        <w:t>-  oznakowanie robót,</w:t>
      </w:r>
    </w:p>
    <w:p w14:paraId="0BD6C97C" w14:textId="77777777" w:rsidR="002906AD" w:rsidRPr="00E91F0B" w:rsidRDefault="002906AD" w:rsidP="002906AD">
      <w:pPr>
        <w:jc w:val="both"/>
        <w:rPr>
          <w:color w:val="000000"/>
        </w:rPr>
      </w:pPr>
      <w:r w:rsidRPr="00E91F0B">
        <w:rPr>
          <w:color w:val="000000"/>
        </w:rPr>
        <w:t>-  wywóz gruntu przeznczonego do wymiany i jego utylizacja</w:t>
      </w:r>
    </w:p>
    <w:p w14:paraId="49FC456E" w14:textId="77777777" w:rsidR="002906AD" w:rsidRPr="00E91F0B" w:rsidRDefault="002906AD" w:rsidP="002906AD">
      <w:pPr>
        <w:jc w:val="both"/>
        <w:rPr>
          <w:color w:val="000000"/>
        </w:rPr>
      </w:pPr>
      <w:r w:rsidRPr="00E91F0B">
        <w:rPr>
          <w:color w:val="000000"/>
        </w:rPr>
        <w:t>-  pozyskanie gruntu, jego odspojenie i załadunek na środki transportowe,</w:t>
      </w:r>
    </w:p>
    <w:p w14:paraId="6E006D51" w14:textId="77777777" w:rsidR="002906AD" w:rsidRPr="00E91F0B" w:rsidRDefault="002906AD" w:rsidP="002906AD">
      <w:pPr>
        <w:jc w:val="both"/>
        <w:rPr>
          <w:color w:val="000000"/>
        </w:rPr>
      </w:pPr>
      <w:r w:rsidRPr="00E91F0B">
        <w:rPr>
          <w:color w:val="000000"/>
        </w:rPr>
        <w:t>-  transport urobku na miejsce wbudowania,</w:t>
      </w:r>
    </w:p>
    <w:p w14:paraId="216EACE5" w14:textId="77777777" w:rsidR="002906AD" w:rsidRPr="00E91F0B" w:rsidRDefault="002906AD" w:rsidP="002906AD">
      <w:pPr>
        <w:jc w:val="both"/>
        <w:rPr>
          <w:color w:val="000000"/>
        </w:rPr>
      </w:pPr>
      <w:r w:rsidRPr="00E91F0B">
        <w:rPr>
          <w:color w:val="000000"/>
        </w:rPr>
        <w:t>-  wbudowanie dostarczonego gruntu w miejsce wymienianego gruntu,</w:t>
      </w:r>
    </w:p>
    <w:p w14:paraId="2DEB9965" w14:textId="77777777" w:rsidR="002906AD" w:rsidRPr="00E91F0B" w:rsidRDefault="002906AD" w:rsidP="002906AD">
      <w:pPr>
        <w:jc w:val="both"/>
        <w:rPr>
          <w:color w:val="000000"/>
        </w:rPr>
      </w:pPr>
      <w:r w:rsidRPr="00E91F0B">
        <w:rPr>
          <w:color w:val="000000"/>
        </w:rPr>
        <w:t>-  zagęszczenie gruntu,</w:t>
      </w:r>
    </w:p>
    <w:p w14:paraId="4268871E" w14:textId="77777777" w:rsidR="002906AD" w:rsidRPr="00E91F0B" w:rsidRDefault="002906AD" w:rsidP="002906AD">
      <w:pPr>
        <w:jc w:val="both"/>
        <w:rPr>
          <w:color w:val="000000"/>
        </w:rPr>
      </w:pPr>
      <w:r w:rsidRPr="00E91F0B">
        <w:rPr>
          <w:color w:val="000000"/>
        </w:rPr>
        <w:t>-  odwodnienie terenu robót,</w:t>
      </w:r>
    </w:p>
    <w:p w14:paraId="3F14520E" w14:textId="77777777" w:rsidR="00093C51" w:rsidRPr="00E91F0B" w:rsidRDefault="002906AD" w:rsidP="002906AD">
      <w:pPr>
        <w:jc w:val="both"/>
        <w:rPr>
          <w:color w:val="000000"/>
        </w:rPr>
      </w:pPr>
      <w:r w:rsidRPr="00E91F0B">
        <w:rPr>
          <w:color w:val="000000"/>
        </w:rPr>
        <w:t>-  przeprowadzenie pomiarów i badań laboratoryjnych wymaganych w specyfikacji technicznej.</w:t>
      </w:r>
    </w:p>
    <w:p w14:paraId="099CB9DB" w14:textId="77777777" w:rsidR="002906AD" w:rsidRPr="00E91F0B" w:rsidRDefault="002906AD" w:rsidP="002906AD">
      <w:pPr>
        <w:spacing w:before="120"/>
        <w:ind w:left="171" w:hanging="171"/>
        <w:jc w:val="both"/>
        <w:rPr>
          <w:color w:val="000000"/>
        </w:rPr>
      </w:pPr>
    </w:p>
    <w:p w14:paraId="5C92C712" w14:textId="77777777" w:rsidR="00093C51" w:rsidRPr="00E91F0B" w:rsidRDefault="00093C51" w:rsidP="00696D6C">
      <w:pPr>
        <w:jc w:val="both"/>
        <w:rPr>
          <w:color w:val="000000"/>
        </w:rPr>
      </w:pPr>
    </w:p>
    <w:p w14:paraId="05EBE671" w14:textId="77777777" w:rsidR="00093C51" w:rsidRPr="00E91F0B" w:rsidRDefault="00093C51" w:rsidP="00E55F61">
      <w:pPr>
        <w:ind w:left="142"/>
        <w:jc w:val="both"/>
        <w:rPr>
          <w:b/>
          <w:bCs/>
          <w:color w:val="000000"/>
        </w:rPr>
      </w:pPr>
      <w:r w:rsidRPr="00E91F0B">
        <w:rPr>
          <w:b/>
          <w:color w:val="000000"/>
        </w:rPr>
        <w:t>10.0 Przepisy związane</w:t>
      </w:r>
    </w:p>
    <w:p w14:paraId="45F43BEA" w14:textId="77777777" w:rsidR="00093C51" w:rsidRPr="00E91F0B" w:rsidRDefault="00093C51" w:rsidP="00A9491C">
      <w:pPr>
        <w:ind w:firstLine="284"/>
        <w:jc w:val="both"/>
        <w:rPr>
          <w:color w:val="000000"/>
        </w:rPr>
      </w:pPr>
    </w:p>
    <w:p w14:paraId="45AB690F" w14:textId="77777777" w:rsidR="00093C51" w:rsidRPr="00E91F0B" w:rsidRDefault="00093C51" w:rsidP="00E55F61">
      <w:pPr>
        <w:ind w:left="142" w:firstLine="425"/>
        <w:jc w:val="both"/>
        <w:rPr>
          <w:color w:val="000000"/>
        </w:rPr>
      </w:pPr>
      <w:r w:rsidRPr="00E91F0B">
        <w:rPr>
          <w:color w:val="000000"/>
        </w:rPr>
        <w:t>10.1 Normy</w:t>
      </w:r>
    </w:p>
    <w:p w14:paraId="5BEA3140" w14:textId="77777777" w:rsidR="00093C51" w:rsidRPr="00E91F0B" w:rsidRDefault="00093C51" w:rsidP="00C92701">
      <w:pPr>
        <w:ind w:left="284"/>
        <w:jc w:val="both"/>
        <w:rPr>
          <w:color w:val="000000"/>
        </w:rPr>
      </w:pPr>
    </w:p>
    <w:p w14:paraId="4270450F" w14:textId="77777777" w:rsidR="002906AD" w:rsidRPr="00E91F0B" w:rsidRDefault="002906AD" w:rsidP="002906AD">
      <w:pPr>
        <w:ind w:left="284"/>
        <w:jc w:val="both"/>
        <w:rPr>
          <w:color w:val="000000"/>
        </w:rPr>
      </w:pPr>
      <w:r w:rsidRPr="00E91F0B">
        <w:rPr>
          <w:color w:val="000000"/>
        </w:rPr>
        <w:t>1.  PN-B-02480  Grunty budowlane. Określenia. Symbole. Podział i opis gruntów</w:t>
      </w:r>
    </w:p>
    <w:p w14:paraId="68161DFF" w14:textId="77777777" w:rsidR="002906AD" w:rsidRPr="00E91F0B" w:rsidRDefault="002906AD" w:rsidP="002906AD">
      <w:pPr>
        <w:ind w:left="284"/>
        <w:jc w:val="both"/>
        <w:rPr>
          <w:color w:val="000000"/>
        </w:rPr>
      </w:pPr>
      <w:r w:rsidRPr="00E91F0B">
        <w:rPr>
          <w:color w:val="000000"/>
        </w:rPr>
        <w:t>2.  PN-B-04481  Grunty budowlane. Badania próbek gruntów</w:t>
      </w:r>
    </w:p>
    <w:p w14:paraId="3389BFC4" w14:textId="77777777" w:rsidR="002906AD" w:rsidRPr="00E91F0B" w:rsidRDefault="002906AD" w:rsidP="002906AD">
      <w:pPr>
        <w:ind w:left="284"/>
        <w:jc w:val="both"/>
        <w:rPr>
          <w:color w:val="000000"/>
        </w:rPr>
      </w:pPr>
      <w:r w:rsidRPr="00E91F0B">
        <w:rPr>
          <w:color w:val="000000"/>
        </w:rPr>
        <w:t>3.  PN-B-04493  Grunty budowlane. Oznaczanie kapilarności biernej</w:t>
      </w:r>
    </w:p>
    <w:p w14:paraId="468E8CE8" w14:textId="77777777" w:rsidR="002906AD" w:rsidRPr="00E91F0B" w:rsidRDefault="002906AD" w:rsidP="002906AD">
      <w:pPr>
        <w:ind w:left="284"/>
        <w:jc w:val="both"/>
        <w:rPr>
          <w:color w:val="000000"/>
        </w:rPr>
      </w:pPr>
      <w:r w:rsidRPr="00E91F0B">
        <w:rPr>
          <w:color w:val="000000"/>
        </w:rPr>
        <w:t>4.  PN-S-02205  Drogi samochodowe. Roboty ziemne. Wymagania i badania</w:t>
      </w:r>
    </w:p>
    <w:p w14:paraId="65C07DCA" w14:textId="77777777" w:rsidR="002906AD" w:rsidRPr="00E91F0B" w:rsidRDefault="002906AD" w:rsidP="002906AD">
      <w:pPr>
        <w:ind w:left="284"/>
        <w:jc w:val="both"/>
        <w:rPr>
          <w:color w:val="000000"/>
        </w:rPr>
      </w:pPr>
      <w:r w:rsidRPr="00E91F0B">
        <w:rPr>
          <w:color w:val="000000"/>
        </w:rPr>
        <w:t>5. PN-B-06050  Roboty  ziemne  budowlane.  Wymagania  w  zakresie  wykonywania  i badania przy odbiorze.</w:t>
      </w:r>
    </w:p>
    <w:p w14:paraId="24A6A299" w14:textId="77777777" w:rsidR="002906AD" w:rsidRPr="00E91F0B" w:rsidRDefault="002906AD" w:rsidP="002906AD">
      <w:pPr>
        <w:ind w:left="284"/>
        <w:jc w:val="both"/>
        <w:rPr>
          <w:color w:val="000000"/>
        </w:rPr>
      </w:pPr>
      <w:r w:rsidRPr="00E91F0B">
        <w:rPr>
          <w:color w:val="000000"/>
        </w:rPr>
        <w:t>6.  BN-64/8931-01  Drogi samochodowe. Oznaczenie wskaźnika piaskowego</w:t>
      </w:r>
    </w:p>
    <w:p w14:paraId="27B896DC" w14:textId="77777777" w:rsidR="002906AD" w:rsidRPr="00E91F0B" w:rsidRDefault="002906AD" w:rsidP="002906AD">
      <w:pPr>
        <w:ind w:left="284"/>
        <w:jc w:val="both"/>
        <w:rPr>
          <w:color w:val="000000"/>
        </w:rPr>
      </w:pPr>
      <w:r w:rsidRPr="00E91F0B">
        <w:rPr>
          <w:color w:val="000000"/>
        </w:rPr>
        <w:t>7. BN-64/8931-02  Drogi  samochodowe.  Oznaczenie  modułu  odkształcenia  nawierzchni podatnych i podłoża przez obciążenie płytą</w:t>
      </w:r>
    </w:p>
    <w:p w14:paraId="6F803023" w14:textId="77777777" w:rsidR="002906AD" w:rsidRPr="00E91F0B" w:rsidRDefault="002906AD" w:rsidP="002906AD">
      <w:pPr>
        <w:ind w:left="284"/>
        <w:jc w:val="both"/>
        <w:rPr>
          <w:color w:val="000000"/>
        </w:rPr>
      </w:pPr>
      <w:r w:rsidRPr="00E91F0B">
        <w:rPr>
          <w:color w:val="000000"/>
        </w:rPr>
        <w:t>8.  BN-77/8931-12  Oznaczenie wskaźnika zagęszczenia gruntu</w:t>
      </w:r>
    </w:p>
    <w:p w14:paraId="23C3B417" w14:textId="77777777" w:rsidR="002906AD" w:rsidRPr="00E91F0B" w:rsidRDefault="002906AD" w:rsidP="002906AD">
      <w:pPr>
        <w:ind w:left="284"/>
        <w:jc w:val="both"/>
        <w:rPr>
          <w:sz w:val="25"/>
          <w:szCs w:val="25"/>
        </w:rPr>
      </w:pPr>
      <w:r w:rsidRPr="00E91F0B">
        <w:rPr>
          <w:color w:val="000000"/>
        </w:rPr>
        <w:t xml:space="preserve">9. </w:t>
      </w:r>
      <w:r w:rsidRPr="00E91F0B">
        <w:rPr>
          <w:sz w:val="25"/>
          <w:szCs w:val="25"/>
        </w:rPr>
        <w:t>PN-83/B-03010 Ściany oporowe</w:t>
      </w:r>
    </w:p>
    <w:p w14:paraId="25E0961F" w14:textId="77777777" w:rsidR="002906AD" w:rsidRPr="00E91F0B" w:rsidRDefault="002906AD" w:rsidP="002906AD">
      <w:pPr>
        <w:ind w:left="284"/>
        <w:jc w:val="both"/>
        <w:rPr>
          <w:color w:val="000000"/>
        </w:rPr>
      </w:pPr>
    </w:p>
    <w:p w14:paraId="33EBECD8" w14:textId="77777777" w:rsidR="002906AD" w:rsidRPr="00E91F0B" w:rsidRDefault="002906AD" w:rsidP="002906AD">
      <w:pPr>
        <w:ind w:left="284"/>
        <w:jc w:val="both"/>
        <w:rPr>
          <w:color w:val="000000"/>
        </w:rPr>
      </w:pPr>
    </w:p>
    <w:p w14:paraId="7CE9DC2D" w14:textId="77777777" w:rsidR="002906AD" w:rsidRPr="00E91F0B" w:rsidRDefault="002906AD" w:rsidP="002906AD">
      <w:pPr>
        <w:ind w:left="284"/>
        <w:jc w:val="both"/>
        <w:rPr>
          <w:color w:val="000000"/>
        </w:rPr>
      </w:pPr>
      <w:r w:rsidRPr="00E91F0B">
        <w:rPr>
          <w:color w:val="000000"/>
        </w:rPr>
        <w:t>10.2. Inne dokumenty</w:t>
      </w:r>
    </w:p>
    <w:p w14:paraId="32B0B604" w14:textId="77777777" w:rsidR="002906AD" w:rsidRPr="00E91F0B" w:rsidRDefault="002906AD" w:rsidP="002906AD">
      <w:pPr>
        <w:ind w:left="284"/>
        <w:jc w:val="both"/>
        <w:rPr>
          <w:color w:val="000000"/>
        </w:rPr>
      </w:pPr>
      <w:r w:rsidRPr="00E91F0B">
        <w:rPr>
          <w:color w:val="000000"/>
        </w:rPr>
        <w:t xml:space="preserve">a)  Wykonanie i odbiór robót ziemnych dla dróg szybkiego ruchu, </w:t>
      </w:r>
      <w:proofErr w:type="spellStart"/>
      <w:r w:rsidRPr="00E91F0B">
        <w:rPr>
          <w:color w:val="000000"/>
        </w:rPr>
        <w:t>IBDiM</w:t>
      </w:r>
      <w:proofErr w:type="spellEnd"/>
      <w:r w:rsidRPr="00E91F0B">
        <w:rPr>
          <w:color w:val="000000"/>
        </w:rPr>
        <w:t>, Warszawa 1978.</w:t>
      </w:r>
    </w:p>
    <w:p w14:paraId="4043811C" w14:textId="77777777" w:rsidR="002906AD" w:rsidRPr="00E91F0B" w:rsidRDefault="002906AD" w:rsidP="002906AD">
      <w:pPr>
        <w:ind w:left="284"/>
        <w:jc w:val="both"/>
        <w:rPr>
          <w:color w:val="000000"/>
        </w:rPr>
      </w:pPr>
      <w:r w:rsidRPr="00E91F0B">
        <w:rPr>
          <w:color w:val="000000"/>
        </w:rPr>
        <w:t>b)  Instrukcja  badań  podłoża  gruntowego  budowli  drogowych  i  mostowych,  GDDP,  Warszawa 1998.</w:t>
      </w:r>
    </w:p>
    <w:p w14:paraId="78BCD7D9" w14:textId="77777777" w:rsidR="002906AD" w:rsidRPr="00E91F0B" w:rsidRDefault="002906AD" w:rsidP="002906AD">
      <w:pPr>
        <w:ind w:left="284"/>
        <w:jc w:val="both"/>
        <w:rPr>
          <w:color w:val="000000"/>
        </w:rPr>
      </w:pPr>
      <w:r w:rsidRPr="00E91F0B">
        <w:rPr>
          <w:color w:val="000000"/>
        </w:rPr>
        <w:t xml:space="preserve">c)  Katalog typowych konstrukcji nawierzchni podatnych i półsztywnych, </w:t>
      </w:r>
      <w:proofErr w:type="spellStart"/>
      <w:r w:rsidRPr="00E91F0B">
        <w:rPr>
          <w:color w:val="000000"/>
        </w:rPr>
        <w:t>IBDiM</w:t>
      </w:r>
      <w:proofErr w:type="spellEnd"/>
      <w:r w:rsidRPr="00E91F0B">
        <w:rPr>
          <w:color w:val="000000"/>
        </w:rPr>
        <w:t>, Warszawa 1997.</w:t>
      </w:r>
    </w:p>
    <w:p w14:paraId="7FB1A760" w14:textId="77777777" w:rsidR="002906AD" w:rsidRPr="00E91F0B" w:rsidRDefault="002906AD" w:rsidP="002906AD">
      <w:pPr>
        <w:ind w:left="284"/>
        <w:jc w:val="both"/>
        <w:rPr>
          <w:color w:val="000000"/>
        </w:rPr>
      </w:pPr>
      <w:r w:rsidRPr="00E91F0B">
        <w:rPr>
          <w:color w:val="000000"/>
        </w:rPr>
        <w:t xml:space="preserve">d)  Wytyczne  wzmacniania  podłoża  gruntowego  w  budownictwie  drogowym,  </w:t>
      </w:r>
      <w:proofErr w:type="spellStart"/>
      <w:r w:rsidRPr="00E91F0B">
        <w:rPr>
          <w:color w:val="000000"/>
        </w:rPr>
        <w:t>IBDiM</w:t>
      </w:r>
      <w:proofErr w:type="spellEnd"/>
      <w:r w:rsidRPr="00E91F0B">
        <w:rPr>
          <w:color w:val="000000"/>
        </w:rPr>
        <w:t xml:space="preserve">,  Warszawa </w:t>
      </w:r>
    </w:p>
    <w:p w14:paraId="5D6EFE57" w14:textId="77777777" w:rsidR="002906AD" w:rsidRPr="00E91F0B" w:rsidRDefault="002906AD" w:rsidP="002906AD">
      <w:pPr>
        <w:ind w:left="284"/>
        <w:jc w:val="both"/>
        <w:rPr>
          <w:color w:val="000000"/>
        </w:rPr>
      </w:pPr>
      <w:r w:rsidRPr="00E91F0B">
        <w:rPr>
          <w:color w:val="000000"/>
        </w:rPr>
        <w:t>2002.</w:t>
      </w:r>
    </w:p>
    <w:bookmarkEnd w:id="0"/>
    <w:p w14:paraId="0620422D" w14:textId="77777777" w:rsidR="002906AD" w:rsidRPr="00E91F0B" w:rsidRDefault="002906AD" w:rsidP="002906AD">
      <w:pPr>
        <w:ind w:left="284"/>
        <w:jc w:val="both"/>
        <w:rPr>
          <w:color w:val="000000"/>
        </w:rPr>
      </w:pPr>
    </w:p>
    <w:sectPr w:rsidR="002906AD" w:rsidRPr="00E91F0B" w:rsidSect="00CB5A87">
      <w:headerReference w:type="default" r:id="rId8"/>
      <w:footerReference w:type="default" r:id="rId9"/>
      <w:pgSz w:w="11906" w:h="16838"/>
      <w:pgMar w:top="1417" w:right="146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C3DB8" w14:textId="77777777" w:rsidR="004D3A74" w:rsidRDefault="004D3A74">
      <w:r>
        <w:separator/>
      </w:r>
    </w:p>
  </w:endnote>
  <w:endnote w:type="continuationSeparator" w:id="0">
    <w:p w14:paraId="53A69F33" w14:textId="77777777" w:rsidR="004D3A74" w:rsidRDefault="004D3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21002A87" w:usb1="090F0000" w:usb2="00000010" w:usb3="00000000" w:csb0="003F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F2943" w14:textId="77777777" w:rsidR="00093C51" w:rsidRDefault="00093C51" w:rsidP="00575DEF">
    <w:pPr>
      <w:pStyle w:val="Nagwek"/>
      <w:pBdr>
        <w:bottom w:val="single" w:sz="4" w:space="1" w:color="auto"/>
      </w:pBdr>
      <w:rPr>
        <w:i/>
        <w:sz w:val="20"/>
      </w:rPr>
    </w:pPr>
  </w:p>
  <w:p w14:paraId="599EE114" w14:textId="77777777" w:rsidR="00093C51" w:rsidRPr="00BB3F78" w:rsidRDefault="004C6B5F" w:rsidP="00762F69">
    <w:pPr>
      <w:pStyle w:val="Nagwek"/>
      <w:jc w:val="center"/>
      <w:rPr>
        <w:rFonts w:ascii="Arial" w:hAnsi="Arial" w:cs="Arial"/>
        <w:b/>
        <w:sz w:val="22"/>
        <w:szCs w:val="22"/>
      </w:rPr>
    </w:pPr>
    <w:r w:rsidRPr="00BB3F78">
      <w:rPr>
        <w:rStyle w:val="Numerstrony"/>
        <w:rFonts w:ascii="Arial" w:hAnsi="Arial" w:cs="Arial"/>
        <w:b/>
        <w:sz w:val="22"/>
        <w:szCs w:val="22"/>
      </w:rPr>
      <w:fldChar w:fldCharType="begin"/>
    </w:r>
    <w:r w:rsidR="00093C51" w:rsidRPr="00BB3F78">
      <w:rPr>
        <w:rStyle w:val="Numerstrony"/>
        <w:rFonts w:ascii="Arial" w:hAnsi="Arial" w:cs="Arial"/>
        <w:b/>
        <w:sz w:val="22"/>
        <w:szCs w:val="22"/>
      </w:rPr>
      <w:instrText xml:space="preserve"> PAGE </w:instrText>
    </w:r>
    <w:r w:rsidRPr="00BB3F78">
      <w:rPr>
        <w:rStyle w:val="Numerstrony"/>
        <w:rFonts w:ascii="Arial" w:hAnsi="Arial" w:cs="Arial"/>
        <w:b/>
        <w:sz w:val="22"/>
        <w:szCs w:val="22"/>
      </w:rPr>
      <w:fldChar w:fldCharType="separate"/>
    </w:r>
    <w:r w:rsidR="00B76741">
      <w:rPr>
        <w:rStyle w:val="Numerstrony"/>
        <w:rFonts w:ascii="Arial" w:hAnsi="Arial" w:cs="Arial"/>
        <w:b/>
        <w:noProof/>
        <w:sz w:val="22"/>
        <w:szCs w:val="22"/>
      </w:rPr>
      <w:t>9</w:t>
    </w:r>
    <w:r w:rsidRPr="00BB3F78">
      <w:rPr>
        <w:rStyle w:val="Numerstrony"/>
        <w:rFonts w:ascii="Arial" w:hAnsi="Arial" w:cs="Arial"/>
        <w:b/>
        <w:sz w:val="22"/>
        <w:szCs w:val="22"/>
      </w:rPr>
      <w:fldChar w:fldCharType="end"/>
    </w:r>
    <w:r w:rsidR="00093C51" w:rsidRPr="00BB3F78">
      <w:rPr>
        <w:rStyle w:val="Numerstrony"/>
        <w:rFonts w:ascii="Arial" w:hAnsi="Arial" w:cs="Arial"/>
        <w:b/>
        <w:sz w:val="22"/>
        <w:szCs w:val="22"/>
      </w:rPr>
      <w:t>/</w:t>
    </w:r>
    <w:r w:rsidRPr="00BB3F78">
      <w:rPr>
        <w:rStyle w:val="Numerstrony"/>
        <w:rFonts w:ascii="Arial" w:hAnsi="Arial" w:cs="Arial"/>
        <w:b/>
        <w:sz w:val="22"/>
        <w:szCs w:val="22"/>
      </w:rPr>
      <w:fldChar w:fldCharType="begin"/>
    </w:r>
    <w:r w:rsidR="00093C51" w:rsidRPr="00BB3F78">
      <w:rPr>
        <w:rStyle w:val="Numerstrony"/>
        <w:rFonts w:ascii="Arial" w:hAnsi="Arial" w:cs="Arial"/>
        <w:b/>
        <w:sz w:val="22"/>
        <w:szCs w:val="22"/>
      </w:rPr>
      <w:instrText xml:space="preserve"> NUMPAGES </w:instrText>
    </w:r>
    <w:r w:rsidRPr="00BB3F78">
      <w:rPr>
        <w:rStyle w:val="Numerstrony"/>
        <w:rFonts w:ascii="Arial" w:hAnsi="Arial" w:cs="Arial"/>
        <w:b/>
        <w:sz w:val="22"/>
        <w:szCs w:val="22"/>
      </w:rPr>
      <w:fldChar w:fldCharType="separate"/>
    </w:r>
    <w:r w:rsidR="00B76741">
      <w:rPr>
        <w:rStyle w:val="Numerstrony"/>
        <w:rFonts w:ascii="Arial" w:hAnsi="Arial" w:cs="Arial"/>
        <w:b/>
        <w:noProof/>
        <w:sz w:val="22"/>
        <w:szCs w:val="22"/>
      </w:rPr>
      <w:t>10</w:t>
    </w:r>
    <w:r w:rsidRPr="00BB3F78">
      <w:rPr>
        <w:rStyle w:val="Numerstrony"/>
        <w:rFonts w:ascii="Arial" w:hAnsi="Arial" w:cs="Arial"/>
        <w:b/>
        <w:sz w:val="22"/>
        <w:szCs w:val="22"/>
      </w:rPr>
      <w:fldChar w:fldCharType="end"/>
    </w:r>
  </w:p>
  <w:p w14:paraId="3F2DB247" w14:textId="1C154F43" w:rsidR="00093C51" w:rsidRDefault="00093C51">
    <w:pPr>
      <w:pStyle w:val="Stopka"/>
      <w:rPr>
        <w:rStyle w:val="Numerstrony"/>
      </w:rPr>
    </w:pPr>
    <w:r>
      <w:rPr>
        <w:sz w:val="16"/>
      </w:rPr>
      <w:tab/>
    </w:r>
  </w:p>
  <w:p w14:paraId="571D2ADA" w14:textId="77777777" w:rsidR="00093C51" w:rsidRDefault="00093C51">
    <w:pPr>
      <w:pStyle w:val="Stopka"/>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6ECDA" w14:textId="77777777" w:rsidR="004D3A74" w:rsidRDefault="004D3A74">
      <w:r>
        <w:separator/>
      </w:r>
    </w:p>
  </w:footnote>
  <w:footnote w:type="continuationSeparator" w:id="0">
    <w:p w14:paraId="08E8A4B6" w14:textId="77777777" w:rsidR="004D3A74" w:rsidRDefault="004D3A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719EF" w14:textId="77777777" w:rsidR="00093C51" w:rsidRDefault="00093C51" w:rsidP="00DF2969">
    <w:pPr>
      <w:rPr>
        <w:i/>
        <w:sz w:val="20"/>
      </w:rPr>
    </w:pPr>
  </w:p>
  <w:p w14:paraId="5D4AA97C" w14:textId="50A34393" w:rsidR="00093C51" w:rsidRPr="00EE03D7" w:rsidRDefault="00093C51" w:rsidP="00DF2969">
    <w:pPr>
      <w:rPr>
        <w:b/>
        <w:sz w:val="36"/>
        <w:szCs w:val="36"/>
      </w:rPr>
    </w:pPr>
    <w:r w:rsidRPr="00C65DA2">
      <w:rPr>
        <w:rFonts w:ascii="Arial" w:hAnsi="Arial" w:cs="Arial"/>
        <w:color w:val="000000"/>
        <w:sz w:val="20"/>
        <w:szCs w:val="20"/>
      </w:rPr>
      <w:t>D</w:t>
    </w:r>
    <w:r w:rsidR="00E91F0B">
      <w:rPr>
        <w:rFonts w:ascii="Arial" w:hAnsi="Arial" w:cs="Arial"/>
        <w:color w:val="000000"/>
        <w:sz w:val="20"/>
        <w:szCs w:val="20"/>
      </w:rPr>
      <w:t>-</w:t>
    </w:r>
    <w:r w:rsidRPr="00C65DA2">
      <w:rPr>
        <w:rFonts w:ascii="Arial" w:hAnsi="Arial" w:cs="Arial"/>
        <w:color w:val="000000"/>
        <w:sz w:val="20"/>
        <w:szCs w:val="20"/>
      </w:rPr>
      <w:t>02.0</w:t>
    </w:r>
    <w:r>
      <w:rPr>
        <w:rFonts w:ascii="Arial" w:hAnsi="Arial" w:cs="Arial"/>
        <w:color w:val="000000"/>
        <w:sz w:val="20"/>
        <w:szCs w:val="20"/>
      </w:rPr>
      <w:t>2</w:t>
    </w:r>
    <w:r w:rsidRPr="00C65DA2">
      <w:rPr>
        <w:rFonts w:ascii="Arial" w:hAnsi="Arial" w:cs="Arial"/>
        <w:color w:val="000000"/>
        <w:sz w:val="20"/>
        <w:szCs w:val="20"/>
      </w:rPr>
      <w:t>.01.</w:t>
    </w:r>
    <w:r w:rsidR="002A1A93">
      <w:rPr>
        <w:rFonts w:ascii="Arial" w:hAnsi="Arial" w:cs="Arial"/>
        <w:color w:val="000000"/>
        <w:sz w:val="20"/>
        <w:szCs w:val="20"/>
      </w:rPr>
      <w:t>WG</w:t>
    </w:r>
    <w:r w:rsidRPr="00762F69">
      <w:rPr>
        <w:rFonts w:ascii="Arial" w:hAnsi="Arial" w:cs="Arial"/>
        <w:color w:val="000000"/>
      </w:rPr>
      <w:t xml:space="preserve">  </w:t>
    </w:r>
    <w:r>
      <w:rPr>
        <w:i/>
        <w:sz w:val="20"/>
      </w:rPr>
      <w:t xml:space="preserve"> </w:t>
    </w:r>
    <w:r w:rsidR="00E91F0B">
      <w:rPr>
        <w:i/>
        <w:sz w:val="20"/>
      </w:rPr>
      <w:t xml:space="preserve">                                                  Wzmocnienie podłoża gruntowego metodą w</w:t>
    </w:r>
    <w:r w:rsidR="002A1A93">
      <w:rPr>
        <w:i/>
        <w:sz w:val="20"/>
      </w:rPr>
      <w:t>ymian</w:t>
    </w:r>
    <w:r w:rsidR="00E91F0B">
      <w:rPr>
        <w:i/>
        <w:sz w:val="20"/>
      </w:rPr>
      <w:t>y</w:t>
    </w:r>
    <w:r w:rsidR="002A1A93">
      <w:rPr>
        <w:i/>
        <w:sz w:val="20"/>
      </w:rPr>
      <w:t xml:space="preserve"> </w:t>
    </w:r>
    <w:r w:rsidR="00E91F0B">
      <w:rPr>
        <w:i/>
        <w:sz w:val="20"/>
      </w:rPr>
      <w:t>g</w:t>
    </w:r>
    <w:r w:rsidR="002A1A93">
      <w:rPr>
        <w:i/>
        <w:sz w:val="20"/>
      </w:rPr>
      <w:t>runtu</w:t>
    </w:r>
  </w:p>
  <w:p w14:paraId="1454D4B7" w14:textId="77777777" w:rsidR="00093C51" w:rsidRDefault="00093C51" w:rsidP="00DF2969">
    <w:pPr>
      <w:pStyle w:val="Nagwek"/>
      <w:pBdr>
        <w:bottom w:val="single" w:sz="4" w:space="1" w:color="auto"/>
      </w:pBdr>
      <w:rPr>
        <w:i/>
        <w:sz w:val="20"/>
      </w:rPr>
    </w:pPr>
  </w:p>
  <w:p w14:paraId="15711BB8" w14:textId="77777777" w:rsidR="00093C51" w:rsidRDefault="00093C51" w:rsidP="00DF29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71A2A38"/>
    <w:lvl w:ilvl="0">
      <w:start w:val="1"/>
      <w:numFmt w:val="bullet"/>
      <w:pStyle w:val="Listapunktowana2"/>
      <w:lvlText w:val=""/>
      <w:lvlJc w:val="left"/>
      <w:pPr>
        <w:tabs>
          <w:tab w:val="num" w:pos="720"/>
        </w:tabs>
        <w:ind w:left="720" w:hanging="360"/>
      </w:pPr>
      <w:rPr>
        <w:rFonts w:ascii="Symbol" w:hAnsi="Symbol" w:hint="default"/>
      </w:rPr>
    </w:lvl>
  </w:abstractNum>
  <w:abstractNum w:abstractNumId="1" w15:restartNumberingAfterBreak="0">
    <w:nsid w:val="0E212B2B"/>
    <w:multiLevelType w:val="multilevel"/>
    <w:tmpl w:val="62C6C05C"/>
    <w:lvl w:ilvl="0">
      <w:start w:val="2"/>
      <w:numFmt w:val="decimal"/>
      <w:lvlText w:val="%1."/>
      <w:lvlJc w:val="left"/>
      <w:pPr>
        <w:ind w:left="390" w:hanging="390"/>
      </w:pPr>
      <w:rPr>
        <w:rFonts w:eastAsia="Times New Roman" w:cs="Times New Roman" w:hint="default"/>
        <w:u w:val="none"/>
      </w:rPr>
    </w:lvl>
    <w:lvl w:ilvl="1">
      <w:start w:val="1"/>
      <w:numFmt w:val="decimal"/>
      <w:lvlText w:val="%1.%2."/>
      <w:lvlJc w:val="left"/>
      <w:pPr>
        <w:ind w:left="1430" w:hanging="720"/>
      </w:pPr>
      <w:rPr>
        <w:rFonts w:eastAsia="Times New Roman" w:cs="Times New Roman" w:hint="default"/>
        <w:b/>
        <w:u w:val="none"/>
      </w:rPr>
    </w:lvl>
    <w:lvl w:ilvl="2">
      <w:start w:val="1"/>
      <w:numFmt w:val="decimal"/>
      <w:lvlText w:val="%1.%2.%3."/>
      <w:lvlJc w:val="left"/>
      <w:pPr>
        <w:ind w:left="1288" w:hanging="720"/>
      </w:pPr>
      <w:rPr>
        <w:rFonts w:eastAsia="Times New Roman" w:cs="Times New Roman" w:hint="default"/>
        <w:u w:val="none"/>
      </w:rPr>
    </w:lvl>
    <w:lvl w:ilvl="3">
      <w:start w:val="1"/>
      <w:numFmt w:val="decimal"/>
      <w:lvlText w:val="%1.%2.%3.%4."/>
      <w:lvlJc w:val="left"/>
      <w:pPr>
        <w:ind w:left="1932" w:hanging="1080"/>
      </w:pPr>
      <w:rPr>
        <w:rFonts w:eastAsia="Times New Roman" w:cs="Times New Roman" w:hint="default"/>
        <w:u w:val="none"/>
      </w:rPr>
    </w:lvl>
    <w:lvl w:ilvl="4">
      <w:start w:val="1"/>
      <w:numFmt w:val="decimal"/>
      <w:lvlText w:val="%1.%2.%3.%4.%5."/>
      <w:lvlJc w:val="left"/>
      <w:pPr>
        <w:ind w:left="2216" w:hanging="1080"/>
      </w:pPr>
      <w:rPr>
        <w:rFonts w:eastAsia="Times New Roman" w:cs="Times New Roman" w:hint="default"/>
        <w:u w:val="none"/>
      </w:rPr>
    </w:lvl>
    <w:lvl w:ilvl="5">
      <w:start w:val="1"/>
      <w:numFmt w:val="decimal"/>
      <w:lvlText w:val="%1.%2.%3.%4.%5.%6."/>
      <w:lvlJc w:val="left"/>
      <w:pPr>
        <w:ind w:left="2860" w:hanging="1440"/>
      </w:pPr>
      <w:rPr>
        <w:rFonts w:eastAsia="Times New Roman" w:cs="Times New Roman" w:hint="default"/>
        <w:u w:val="none"/>
      </w:rPr>
    </w:lvl>
    <w:lvl w:ilvl="6">
      <w:start w:val="1"/>
      <w:numFmt w:val="decimal"/>
      <w:lvlText w:val="%1.%2.%3.%4.%5.%6.%7."/>
      <w:lvlJc w:val="left"/>
      <w:pPr>
        <w:ind w:left="3144" w:hanging="1440"/>
      </w:pPr>
      <w:rPr>
        <w:rFonts w:eastAsia="Times New Roman" w:cs="Times New Roman" w:hint="default"/>
        <w:u w:val="none"/>
      </w:rPr>
    </w:lvl>
    <w:lvl w:ilvl="7">
      <w:start w:val="1"/>
      <w:numFmt w:val="decimal"/>
      <w:lvlText w:val="%1.%2.%3.%4.%5.%6.%7.%8."/>
      <w:lvlJc w:val="left"/>
      <w:pPr>
        <w:ind w:left="3788" w:hanging="1800"/>
      </w:pPr>
      <w:rPr>
        <w:rFonts w:eastAsia="Times New Roman" w:cs="Times New Roman" w:hint="default"/>
        <w:u w:val="none"/>
      </w:rPr>
    </w:lvl>
    <w:lvl w:ilvl="8">
      <w:start w:val="1"/>
      <w:numFmt w:val="decimal"/>
      <w:lvlText w:val="%1.%2.%3.%4.%5.%6.%7.%8.%9."/>
      <w:lvlJc w:val="left"/>
      <w:pPr>
        <w:ind w:left="4432" w:hanging="2160"/>
      </w:pPr>
      <w:rPr>
        <w:rFonts w:eastAsia="Times New Roman" w:cs="Times New Roman" w:hint="default"/>
        <w:u w:val="none"/>
      </w:rPr>
    </w:lvl>
  </w:abstractNum>
  <w:abstractNum w:abstractNumId="2" w15:restartNumberingAfterBreak="0">
    <w:nsid w:val="10AD7F9F"/>
    <w:multiLevelType w:val="hybridMultilevel"/>
    <w:tmpl w:val="7812DC10"/>
    <w:lvl w:ilvl="0" w:tplc="DE7E338A">
      <w:start w:val="1"/>
      <w:numFmt w:val="bullet"/>
      <w:lvlText w:val=""/>
      <w:lvlJc w:val="left"/>
      <w:pPr>
        <w:ind w:left="720" w:hanging="360"/>
      </w:pPr>
      <w:rPr>
        <w:rFonts w:ascii="Symbol" w:hAnsi="Symbol" w:hint="default"/>
        <w:color w:val="00000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A67DAC"/>
    <w:multiLevelType w:val="hybridMultilevel"/>
    <w:tmpl w:val="1EA03D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C0071C"/>
    <w:multiLevelType w:val="hybridMultilevel"/>
    <w:tmpl w:val="C194CA7A"/>
    <w:lvl w:ilvl="0" w:tplc="DE7E338A">
      <w:start w:val="1"/>
      <w:numFmt w:val="bullet"/>
      <w:lvlText w:val=""/>
      <w:lvlJc w:val="left"/>
      <w:pPr>
        <w:ind w:left="720" w:hanging="360"/>
      </w:pPr>
      <w:rPr>
        <w:rFonts w:ascii="Symbol" w:hAnsi="Symbol" w:hint="default"/>
        <w:color w:val="00000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6722206"/>
    <w:multiLevelType w:val="hybridMultilevel"/>
    <w:tmpl w:val="E0CC9588"/>
    <w:lvl w:ilvl="0" w:tplc="DE7E338A">
      <w:start w:val="1"/>
      <w:numFmt w:val="bullet"/>
      <w:lvlText w:val=""/>
      <w:lvlJc w:val="left"/>
      <w:pPr>
        <w:ind w:left="1004" w:hanging="360"/>
      </w:pPr>
      <w:rPr>
        <w:rFonts w:ascii="Symbol" w:hAnsi="Symbol" w:hint="default"/>
        <w:color w:val="000000"/>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2B115F05"/>
    <w:multiLevelType w:val="hybridMultilevel"/>
    <w:tmpl w:val="FD82EFEE"/>
    <w:lvl w:ilvl="0" w:tplc="DE7E338A">
      <w:start w:val="1"/>
      <w:numFmt w:val="bullet"/>
      <w:lvlText w:val=""/>
      <w:lvlJc w:val="left"/>
      <w:pPr>
        <w:ind w:left="1146" w:hanging="360"/>
      </w:pPr>
      <w:rPr>
        <w:rFonts w:ascii="Symbol" w:hAnsi="Symbol" w:hint="default"/>
        <w:color w:val="000000"/>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C5454F4"/>
    <w:multiLevelType w:val="multilevel"/>
    <w:tmpl w:val="36A84EBA"/>
    <w:styleLink w:val="StylKonspektynumerowanePodkreleni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ascii="Times New Roman" w:hAnsi="Times New Roman" w:cs="Times New Roman" w:hint="default"/>
        <w:b w:val="0"/>
        <w:i w:val="0"/>
        <w:sz w:val="24"/>
      </w:rPr>
    </w:lvl>
    <w:lvl w:ilvl="2">
      <w:start w:val="1"/>
      <w:numFmt w:val="decimal"/>
      <w:lvlText w:val="%1.%2.%3."/>
      <w:lvlJc w:val="left"/>
      <w:pPr>
        <w:tabs>
          <w:tab w:val="num" w:pos="720"/>
        </w:tabs>
        <w:ind w:left="720" w:hanging="720"/>
      </w:pPr>
      <w:rPr>
        <w:rFonts w:cs="Times New Roman" w:hint="default"/>
        <w:sz w:val="24"/>
        <w:u w:val="single"/>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CE17FEE"/>
    <w:multiLevelType w:val="hybridMultilevel"/>
    <w:tmpl w:val="6366B372"/>
    <w:lvl w:ilvl="0" w:tplc="DE7E338A">
      <w:start w:val="1"/>
      <w:numFmt w:val="bullet"/>
      <w:lvlText w:val=""/>
      <w:lvlJc w:val="left"/>
      <w:pPr>
        <w:ind w:left="1004" w:hanging="360"/>
      </w:pPr>
      <w:rPr>
        <w:rFonts w:ascii="Symbol" w:hAnsi="Symbol" w:hint="default"/>
        <w:color w:val="000000"/>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3138676B"/>
    <w:multiLevelType w:val="multilevel"/>
    <w:tmpl w:val="C8F0124A"/>
    <w:lvl w:ilvl="0">
      <w:start w:val="1"/>
      <w:numFmt w:val="decimal"/>
      <w:lvlText w:val="%1."/>
      <w:lvlJc w:val="left"/>
      <w:pPr>
        <w:tabs>
          <w:tab w:val="num" w:pos="720"/>
        </w:tabs>
        <w:ind w:left="720" w:hanging="360"/>
      </w:pPr>
      <w:rPr>
        <w:rFonts w:cs="Times New Roman" w:hint="default"/>
      </w:rPr>
    </w:lvl>
    <w:lvl w:ilvl="1">
      <w:start w:val="4"/>
      <w:numFmt w:val="decimal"/>
      <w:isLgl/>
      <w:lvlText w:val="%1.%2."/>
      <w:lvlJc w:val="left"/>
      <w:pPr>
        <w:tabs>
          <w:tab w:val="num" w:pos="960"/>
        </w:tabs>
        <w:ind w:left="960" w:hanging="600"/>
      </w:pPr>
      <w:rPr>
        <w:rFonts w:cs="Times New Roman" w:hint="default"/>
      </w:rPr>
    </w:lvl>
    <w:lvl w:ilvl="2">
      <w:start w:val="2"/>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0" w15:restartNumberingAfterBreak="0">
    <w:nsid w:val="40CF18EA"/>
    <w:multiLevelType w:val="multilevel"/>
    <w:tmpl w:val="3E525066"/>
    <w:lvl w:ilvl="0">
      <w:start w:val="2"/>
      <w:numFmt w:val="decimal"/>
      <w:lvlText w:val="%1"/>
      <w:lvlJc w:val="left"/>
      <w:pPr>
        <w:ind w:left="360" w:hanging="360"/>
      </w:pPr>
      <w:rPr>
        <w:rFonts w:eastAsia="Times New Roman" w:cs="Times New Roman" w:hint="default"/>
        <w:u w:val="none"/>
      </w:rPr>
    </w:lvl>
    <w:lvl w:ilvl="1">
      <w:start w:val="2"/>
      <w:numFmt w:val="decimal"/>
      <w:lvlText w:val="%1.%2"/>
      <w:lvlJc w:val="left"/>
      <w:pPr>
        <w:ind w:left="644" w:hanging="360"/>
      </w:pPr>
      <w:rPr>
        <w:rFonts w:eastAsia="Times New Roman" w:cs="Times New Roman" w:hint="default"/>
        <w:b/>
        <w:u w:val="none"/>
      </w:rPr>
    </w:lvl>
    <w:lvl w:ilvl="2">
      <w:start w:val="1"/>
      <w:numFmt w:val="decimal"/>
      <w:lvlText w:val="%1.%2.%3"/>
      <w:lvlJc w:val="left"/>
      <w:pPr>
        <w:ind w:left="720" w:hanging="720"/>
      </w:pPr>
      <w:rPr>
        <w:rFonts w:eastAsia="Times New Roman" w:cs="Times New Roman" w:hint="default"/>
        <w:u w:val="none"/>
      </w:rPr>
    </w:lvl>
    <w:lvl w:ilvl="3">
      <w:start w:val="1"/>
      <w:numFmt w:val="decimal"/>
      <w:lvlText w:val="%1.%2.%3.%4"/>
      <w:lvlJc w:val="left"/>
      <w:pPr>
        <w:ind w:left="1080" w:hanging="1080"/>
      </w:pPr>
      <w:rPr>
        <w:rFonts w:eastAsia="Times New Roman" w:cs="Times New Roman" w:hint="default"/>
        <w:u w:val="none"/>
      </w:rPr>
    </w:lvl>
    <w:lvl w:ilvl="4">
      <w:start w:val="1"/>
      <w:numFmt w:val="decimal"/>
      <w:lvlText w:val="%1.%2.%3.%4.%5"/>
      <w:lvlJc w:val="left"/>
      <w:pPr>
        <w:ind w:left="1080" w:hanging="1080"/>
      </w:pPr>
      <w:rPr>
        <w:rFonts w:eastAsia="Times New Roman" w:cs="Times New Roman" w:hint="default"/>
        <w:u w:val="none"/>
      </w:rPr>
    </w:lvl>
    <w:lvl w:ilvl="5">
      <w:start w:val="1"/>
      <w:numFmt w:val="decimal"/>
      <w:lvlText w:val="%1.%2.%3.%4.%5.%6"/>
      <w:lvlJc w:val="left"/>
      <w:pPr>
        <w:ind w:left="1440" w:hanging="1440"/>
      </w:pPr>
      <w:rPr>
        <w:rFonts w:eastAsia="Times New Roman" w:cs="Times New Roman" w:hint="default"/>
        <w:u w:val="none"/>
      </w:rPr>
    </w:lvl>
    <w:lvl w:ilvl="6">
      <w:start w:val="1"/>
      <w:numFmt w:val="decimal"/>
      <w:lvlText w:val="%1.%2.%3.%4.%5.%6.%7"/>
      <w:lvlJc w:val="left"/>
      <w:pPr>
        <w:ind w:left="1440" w:hanging="1440"/>
      </w:pPr>
      <w:rPr>
        <w:rFonts w:eastAsia="Times New Roman" w:cs="Times New Roman" w:hint="default"/>
        <w:u w:val="none"/>
      </w:rPr>
    </w:lvl>
    <w:lvl w:ilvl="7">
      <w:start w:val="1"/>
      <w:numFmt w:val="decimal"/>
      <w:lvlText w:val="%1.%2.%3.%4.%5.%6.%7.%8"/>
      <w:lvlJc w:val="left"/>
      <w:pPr>
        <w:ind w:left="1800" w:hanging="1800"/>
      </w:pPr>
      <w:rPr>
        <w:rFonts w:eastAsia="Times New Roman" w:cs="Times New Roman" w:hint="default"/>
        <w:u w:val="none"/>
      </w:rPr>
    </w:lvl>
    <w:lvl w:ilvl="8">
      <w:start w:val="1"/>
      <w:numFmt w:val="decimal"/>
      <w:lvlText w:val="%1.%2.%3.%4.%5.%6.%7.%8.%9"/>
      <w:lvlJc w:val="left"/>
      <w:pPr>
        <w:ind w:left="1800" w:hanging="1800"/>
      </w:pPr>
      <w:rPr>
        <w:rFonts w:eastAsia="Times New Roman" w:cs="Times New Roman" w:hint="default"/>
        <w:u w:val="none"/>
      </w:rPr>
    </w:lvl>
  </w:abstractNum>
  <w:abstractNum w:abstractNumId="11" w15:restartNumberingAfterBreak="0">
    <w:nsid w:val="40D03E45"/>
    <w:multiLevelType w:val="hybridMultilevel"/>
    <w:tmpl w:val="3CE0B2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1DA05E2"/>
    <w:multiLevelType w:val="multilevel"/>
    <w:tmpl w:val="5E684FB4"/>
    <w:lvl w:ilvl="0">
      <w:start w:val="1"/>
      <w:numFmt w:val="decimal"/>
      <w:lvlText w:val="%1."/>
      <w:lvlJc w:val="left"/>
      <w:pPr>
        <w:tabs>
          <w:tab w:val="num" w:pos="562"/>
        </w:tabs>
        <w:ind w:left="562" w:hanging="420"/>
      </w:pPr>
      <w:rPr>
        <w:rFonts w:cs="Times New Roman" w:hint="default"/>
        <w:b/>
      </w:rPr>
    </w:lvl>
    <w:lvl w:ilvl="1">
      <w:start w:val="1"/>
      <w:numFmt w:val="decimal"/>
      <w:lvlText w:val="%1.%2."/>
      <w:lvlJc w:val="left"/>
      <w:pPr>
        <w:tabs>
          <w:tab w:val="num" w:pos="862"/>
        </w:tabs>
        <w:ind w:left="862" w:hanging="720"/>
      </w:pPr>
      <w:rPr>
        <w:rFonts w:ascii="Arial" w:hAnsi="Arial" w:cs="Arial" w:hint="default"/>
        <w:b/>
        <w:i w:val="0"/>
        <w:sz w:val="24"/>
      </w:rPr>
    </w:lvl>
    <w:lvl w:ilvl="2">
      <w:start w:val="1"/>
      <w:numFmt w:val="decimal"/>
      <w:lvlText w:val="%1.%2.%3."/>
      <w:lvlJc w:val="left"/>
      <w:pPr>
        <w:tabs>
          <w:tab w:val="num" w:pos="1288"/>
        </w:tabs>
        <w:ind w:left="1288" w:hanging="720"/>
      </w:pPr>
      <w:rPr>
        <w:rFonts w:cs="Times New Roman" w:hint="default"/>
        <w:b/>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53E376E8"/>
    <w:multiLevelType w:val="hybridMultilevel"/>
    <w:tmpl w:val="DC60FAB6"/>
    <w:lvl w:ilvl="0" w:tplc="DE7E338A">
      <w:start w:val="1"/>
      <w:numFmt w:val="bullet"/>
      <w:lvlText w:val=""/>
      <w:lvlJc w:val="left"/>
      <w:pPr>
        <w:ind w:left="1004" w:hanging="360"/>
      </w:pPr>
      <w:rPr>
        <w:rFonts w:ascii="Symbol" w:hAnsi="Symbol" w:hint="default"/>
        <w:color w:val="000000"/>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543D5D32"/>
    <w:multiLevelType w:val="hybridMultilevel"/>
    <w:tmpl w:val="FD82046C"/>
    <w:lvl w:ilvl="0" w:tplc="DE7E338A">
      <w:start w:val="1"/>
      <w:numFmt w:val="bullet"/>
      <w:lvlText w:val=""/>
      <w:lvlJc w:val="left"/>
      <w:pPr>
        <w:ind w:left="720" w:hanging="360"/>
      </w:pPr>
      <w:rPr>
        <w:rFonts w:ascii="Symbol" w:hAnsi="Symbol" w:hint="default"/>
        <w:color w:val="00000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ED72DDB"/>
    <w:multiLevelType w:val="multilevel"/>
    <w:tmpl w:val="62C6C05C"/>
    <w:lvl w:ilvl="0">
      <w:start w:val="2"/>
      <w:numFmt w:val="decimal"/>
      <w:lvlText w:val="%1."/>
      <w:lvlJc w:val="left"/>
      <w:pPr>
        <w:ind w:left="390" w:hanging="390"/>
      </w:pPr>
      <w:rPr>
        <w:rFonts w:eastAsia="Times New Roman" w:cs="Times New Roman" w:hint="default"/>
        <w:u w:val="none"/>
      </w:rPr>
    </w:lvl>
    <w:lvl w:ilvl="1">
      <w:start w:val="1"/>
      <w:numFmt w:val="decimal"/>
      <w:lvlText w:val="%1.%2."/>
      <w:lvlJc w:val="left"/>
      <w:pPr>
        <w:ind w:left="1430" w:hanging="720"/>
      </w:pPr>
      <w:rPr>
        <w:rFonts w:eastAsia="Times New Roman" w:cs="Times New Roman" w:hint="default"/>
        <w:b/>
        <w:u w:val="none"/>
      </w:rPr>
    </w:lvl>
    <w:lvl w:ilvl="2">
      <w:start w:val="1"/>
      <w:numFmt w:val="decimal"/>
      <w:lvlText w:val="%1.%2.%3."/>
      <w:lvlJc w:val="left"/>
      <w:pPr>
        <w:ind w:left="1288" w:hanging="720"/>
      </w:pPr>
      <w:rPr>
        <w:rFonts w:eastAsia="Times New Roman" w:cs="Times New Roman" w:hint="default"/>
        <w:u w:val="none"/>
      </w:rPr>
    </w:lvl>
    <w:lvl w:ilvl="3">
      <w:start w:val="1"/>
      <w:numFmt w:val="decimal"/>
      <w:lvlText w:val="%1.%2.%3.%4."/>
      <w:lvlJc w:val="left"/>
      <w:pPr>
        <w:ind w:left="1932" w:hanging="1080"/>
      </w:pPr>
      <w:rPr>
        <w:rFonts w:eastAsia="Times New Roman" w:cs="Times New Roman" w:hint="default"/>
        <w:u w:val="none"/>
      </w:rPr>
    </w:lvl>
    <w:lvl w:ilvl="4">
      <w:start w:val="1"/>
      <w:numFmt w:val="decimal"/>
      <w:lvlText w:val="%1.%2.%3.%4.%5."/>
      <w:lvlJc w:val="left"/>
      <w:pPr>
        <w:ind w:left="2216" w:hanging="1080"/>
      </w:pPr>
      <w:rPr>
        <w:rFonts w:eastAsia="Times New Roman" w:cs="Times New Roman" w:hint="default"/>
        <w:u w:val="none"/>
      </w:rPr>
    </w:lvl>
    <w:lvl w:ilvl="5">
      <w:start w:val="1"/>
      <w:numFmt w:val="decimal"/>
      <w:lvlText w:val="%1.%2.%3.%4.%5.%6."/>
      <w:lvlJc w:val="left"/>
      <w:pPr>
        <w:ind w:left="2860" w:hanging="1440"/>
      </w:pPr>
      <w:rPr>
        <w:rFonts w:eastAsia="Times New Roman" w:cs="Times New Roman" w:hint="default"/>
        <w:u w:val="none"/>
      </w:rPr>
    </w:lvl>
    <w:lvl w:ilvl="6">
      <w:start w:val="1"/>
      <w:numFmt w:val="decimal"/>
      <w:lvlText w:val="%1.%2.%3.%4.%5.%6.%7."/>
      <w:lvlJc w:val="left"/>
      <w:pPr>
        <w:ind w:left="3144" w:hanging="1440"/>
      </w:pPr>
      <w:rPr>
        <w:rFonts w:eastAsia="Times New Roman" w:cs="Times New Roman" w:hint="default"/>
        <w:u w:val="none"/>
      </w:rPr>
    </w:lvl>
    <w:lvl w:ilvl="7">
      <w:start w:val="1"/>
      <w:numFmt w:val="decimal"/>
      <w:lvlText w:val="%1.%2.%3.%4.%5.%6.%7.%8."/>
      <w:lvlJc w:val="left"/>
      <w:pPr>
        <w:ind w:left="3788" w:hanging="1800"/>
      </w:pPr>
      <w:rPr>
        <w:rFonts w:eastAsia="Times New Roman" w:cs="Times New Roman" w:hint="default"/>
        <w:u w:val="none"/>
      </w:rPr>
    </w:lvl>
    <w:lvl w:ilvl="8">
      <w:start w:val="1"/>
      <w:numFmt w:val="decimal"/>
      <w:lvlText w:val="%1.%2.%3.%4.%5.%6.%7.%8.%9."/>
      <w:lvlJc w:val="left"/>
      <w:pPr>
        <w:ind w:left="4432" w:hanging="2160"/>
      </w:pPr>
      <w:rPr>
        <w:rFonts w:eastAsia="Times New Roman" w:cs="Times New Roman" w:hint="default"/>
        <w:u w:val="none"/>
      </w:rPr>
    </w:lvl>
  </w:abstractNum>
  <w:abstractNum w:abstractNumId="16" w15:restartNumberingAfterBreak="0">
    <w:nsid w:val="690C3DE2"/>
    <w:multiLevelType w:val="multilevel"/>
    <w:tmpl w:val="A7D4117A"/>
    <w:lvl w:ilvl="0">
      <w:start w:val="5"/>
      <w:numFmt w:val="decimal"/>
      <w:lvlText w:val="%1."/>
      <w:lvlJc w:val="left"/>
      <w:pPr>
        <w:ind w:left="390" w:hanging="390"/>
      </w:pPr>
      <w:rPr>
        <w:rFonts w:cs="Times New Roman" w:hint="default"/>
      </w:rPr>
    </w:lvl>
    <w:lvl w:ilvl="1">
      <w:start w:val="2"/>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15:restartNumberingAfterBreak="0">
    <w:nsid w:val="6BE73AAA"/>
    <w:multiLevelType w:val="hybridMultilevel"/>
    <w:tmpl w:val="9EEEC2BE"/>
    <w:lvl w:ilvl="0" w:tplc="DE7E338A">
      <w:start w:val="1"/>
      <w:numFmt w:val="bullet"/>
      <w:lvlText w:val=""/>
      <w:lvlJc w:val="left"/>
      <w:pPr>
        <w:ind w:left="720" w:hanging="360"/>
      </w:pPr>
      <w:rPr>
        <w:rFonts w:ascii="Symbol" w:hAnsi="Symbol" w:hint="default"/>
        <w:color w:val="00000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2"/>
  </w:num>
  <w:num w:numId="4">
    <w:abstractNumId w:val="9"/>
  </w:num>
  <w:num w:numId="5">
    <w:abstractNumId w:val="7"/>
  </w:num>
  <w:num w:numId="6">
    <w:abstractNumId w:val="3"/>
  </w:num>
  <w:num w:numId="7">
    <w:abstractNumId w:val="11"/>
  </w:num>
  <w:num w:numId="8">
    <w:abstractNumId w:val="8"/>
  </w:num>
  <w:num w:numId="9">
    <w:abstractNumId w:val="13"/>
  </w:num>
  <w:num w:numId="10">
    <w:abstractNumId w:val="2"/>
  </w:num>
  <w:num w:numId="11">
    <w:abstractNumId w:val="4"/>
  </w:num>
  <w:num w:numId="12">
    <w:abstractNumId w:val="5"/>
  </w:num>
  <w:num w:numId="13">
    <w:abstractNumId w:val="17"/>
  </w:num>
  <w:num w:numId="14">
    <w:abstractNumId w:val="14"/>
  </w:num>
  <w:num w:numId="15">
    <w:abstractNumId w:val="6"/>
  </w:num>
  <w:num w:numId="16">
    <w:abstractNumId w:val="10"/>
  </w:num>
  <w:num w:numId="17">
    <w:abstractNumId w:val="15"/>
  </w:num>
  <w:num w:numId="18">
    <w:abstractNumId w:val="16"/>
  </w:num>
  <w:num w:numId="19">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1E0"/>
    <w:rsid w:val="00002EFF"/>
    <w:rsid w:val="00011AAB"/>
    <w:rsid w:val="000211BA"/>
    <w:rsid w:val="00022CE1"/>
    <w:rsid w:val="00023026"/>
    <w:rsid w:val="0002351D"/>
    <w:rsid w:val="0002773E"/>
    <w:rsid w:val="000279E4"/>
    <w:rsid w:val="00037A20"/>
    <w:rsid w:val="000424F3"/>
    <w:rsid w:val="00042FB4"/>
    <w:rsid w:val="00045086"/>
    <w:rsid w:val="0004661B"/>
    <w:rsid w:val="00047224"/>
    <w:rsid w:val="00051758"/>
    <w:rsid w:val="0005339E"/>
    <w:rsid w:val="00062F54"/>
    <w:rsid w:val="00067ED8"/>
    <w:rsid w:val="00070925"/>
    <w:rsid w:val="00071A22"/>
    <w:rsid w:val="0007637C"/>
    <w:rsid w:val="00076F32"/>
    <w:rsid w:val="00085EEC"/>
    <w:rsid w:val="00086E7D"/>
    <w:rsid w:val="0009010C"/>
    <w:rsid w:val="0009092C"/>
    <w:rsid w:val="00093C51"/>
    <w:rsid w:val="0009467D"/>
    <w:rsid w:val="00094F65"/>
    <w:rsid w:val="000A3754"/>
    <w:rsid w:val="000A5333"/>
    <w:rsid w:val="000B03EA"/>
    <w:rsid w:val="000B1045"/>
    <w:rsid w:val="000B2E49"/>
    <w:rsid w:val="000B3723"/>
    <w:rsid w:val="000B4841"/>
    <w:rsid w:val="000C0FED"/>
    <w:rsid w:val="000C2BC7"/>
    <w:rsid w:val="000C5549"/>
    <w:rsid w:val="000D3FF5"/>
    <w:rsid w:val="000D40F2"/>
    <w:rsid w:val="000D6018"/>
    <w:rsid w:val="000E047C"/>
    <w:rsid w:val="000E0FC6"/>
    <w:rsid w:val="000E2EB4"/>
    <w:rsid w:val="000E6958"/>
    <w:rsid w:val="000F0DB1"/>
    <w:rsid w:val="000F20D1"/>
    <w:rsid w:val="000F49A0"/>
    <w:rsid w:val="000F55C3"/>
    <w:rsid w:val="000F5F82"/>
    <w:rsid w:val="001000B4"/>
    <w:rsid w:val="00101479"/>
    <w:rsid w:val="00112930"/>
    <w:rsid w:val="00113F6C"/>
    <w:rsid w:val="00115868"/>
    <w:rsid w:val="00116BE4"/>
    <w:rsid w:val="00126424"/>
    <w:rsid w:val="0013199A"/>
    <w:rsid w:val="001323B1"/>
    <w:rsid w:val="00136CB2"/>
    <w:rsid w:val="00144C09"/>
    <w:rsid w:val="00144FDD"/>
    <w:rsid w:val="00147822"/>
    <w:rsid w:val="00150B59"/>
    <w:rsid w:val="00150D75"/>
    <w:rsid w:val="00152953"/>
    <w:rsid w:val="0016176B"/>
    <w:rsid w:val="00172F5C"/>
    <w:rsid w:val="00180BF7"/>
    <w:rsid w:val="0018200E"/>
    <w:rsid w:val="00182630"/>
    <w:rsid w:val="00184E54"/>
    <w:rsid w:val="001950EB"/>
    <w:rsid w:val="001A6B12"/>
    <w:rsid w:val="001B1DCD"/>
    <w:rsid w:val="001B21DF"/>
    <w:rsid w:val="001B2ADE"/>
    <w:rsid w:val="001B4888"/>
    <w:rsid w:val="001B6D2B"/>
    <w:rsid w:val="001C1E18"/>
    <w:rsid w:val="001D29F1"/>
    <w:rsid w:val="001D2C06"/>
    <w:rsid w:val="001E0A4B"/>
    <w:rsid w:val="001E0D8D"/>
    <w:rsid w:val="001E541A"/>
    <w:rsid w:val="001E5CF0"/>
    <w:rsid w:val="001F12AC"/>
    <w:rsid w:val="001F13B8"/>
    <w:rsid w:val="001F17C4"/>
    <w:rsid w:val="001F75DD"/>
    <w:rsid w:val="00201A7A"/>
    <w:rsid w:val="00204D28"/>
    <w:rsid w:val="0020683C"/>
    <w:rsid w:val="00207293"/>
    <w:rsid w:val="0021321C"/>
    <w:rsid w:val="00213234"/>
    <w:rsid w:val="002155EB"/>
    <w:rsid w:val="00226527"/>
    <w:rsid w:val="00227968"/>
    <w:rsid w:val="00230984"/>
    <w:rsid w:val="00232120"/>
    <w:rsid w:val="00232F93"/>
    <w:rsid w:val="002347E9"/>
    <w:rsid w:val="00235595"/>
    <w:rsid w:val="00240D74"/>
    <w:rsid w:val="00243421"/>
    <w:rsid w:val="002465B0"/>
    <w:rsid w:val="00260486"/>
    <w:rsid w:val="0026064D"/>
    <w:rsid w:val="0026177C"/>
    <w:rsid w:val="00265094"/>
    <w:rsid w:val="002718A7"/>
    <w:rsid w:val="00271CD8"/>
    <w:rsid w:val="00272838"/>
    <w:rsid w:val="00273918"/>
    <w:rsid w:val="002747E2"/>
    <w:rsid w:val="00274E0A"/>
    <w:rsid w:val="0028433A"/>
    <w:rsid w:val="0028584B"/>
    <w:rsid w:val="0028700C"/>
    <w:rsid w:val="002906AD"/>
    <w:rsid w:val="00290934"/>
    <w:rsid w:val="00292A6E"/>
    <w:rsid w:val="00293744"/>
    <w:rsid w:val="00295702"/>
    <w:rsid w:val="002959A4"/>
    <w:rsid w:val="00296190"/>
    <w:rsid w:val="002974BF"/>
    <w:rsid w:val="002A1A93"/>
    <w:rsid w:val="002A6094"/>
    <w:rsid w:val="002A7C1A"/>
    <w:rsid w:val="002A7DDF"/>
    <w:rsid w:val="002B0463"/>
    <w:rsid w:val="002B176C"/>
    <w:rsid w:val="002B1F4E"/>
    <w:rsid w:val="002B214A"/>
    <w:rsid w:val="002B2AD3"/>
    <w:rsid w:val="002B3D5E"/>
    <w:rsid w:val="002B49F5"/>
    <w:rsid w:val="002B6944"/>
    <w:rsid w:val="002C3DA6"/>
    <w:rsid w:val="002C4997"/>
    <w:rsid w:val="002C53E5"/>
    <w:rsid w:val="002C56F2"/>
    <w:rsid w:val="002C7D47"/>
    <w:rsid w:val="002D0D91"/>
    <w:rsid w:val="002D34B6"/>
    <w:rsid w:val="002F1E8A"/>
    <w:rsid w:val="002F3610"/>
    <w:rsid w:val="002F534B"/>
    <w:rsid w:val="002F5CEB"/>
    <w:rsid w:val="002F77DE"/>
    <w:rsid w:val="00300FAE"/>
    <w:rsid w:val="00304E73"/>
    <w:rsid w:val="0031444A"/>
    <w:rsid w:val="00315760"/>
    <w:rsid w:val="00316599"/>
    <w:rsid w:val="003174EE"/>
    <w:rsid w:val="00330C67"/>
    <w:rsid w:val="00330D64"/>
    <w:rsid w:val="00331F11"/>
    <w:rsid w:val="00334C73"/>
    <w:rsid w:val="00336FE7"/>
    <w:rsid w:val="00340C27"/>
    <w:rsid w:val="003417BC"/>
    <w:rsid w:val="00341BC7"/>
    <w:rsid w:val="00343091"/>
    <w:rsid w:val="0034603B"/>
    <w:rsid w:val="003509A3"/>
    <w:rsid w:val="00360120"/>
    <w:rsid w:val="00365635"/>
    <w:rsid w:val="00367C94"/>
    <w:rsid w:val="00375C94"/>
    <w:rsid w:val="00375DAF"/>
    <w:rsid w:val="00380FF0"/>
    <w:rsid w:val="00386527"/>
    <w:rsid w:val="003908E7"/>
    <w:rsid w:val="00392A04"/>
    <w:rsid w:val="00392E13"/>
    <w:rsid w:val="00397DF2"/>
    <w:rsid w:val="003A4031"/>
    <w:rsid w:val="003B0161"/>
    <w:rsid w:val="003B2B6D"/>
    <w:rsid w:val="003B4AE4"/>
    <w:rsid w:val="003C3C61"/>
    <w:rsid w:val="003C3C6E"/>
    <w:rsid w:val="003C5B91"/>
    <w:rsid w:val="003C6C1B"/>
    <w:rsid w:val="003D5253"/>
    <w:rsid w:val="003E64EF"/>
    <w:rsid w:val="003F1798"/>
    <w:rsid w:val="003F3C1C"/>
    <w:rsid w:val="00401E21"/>
    <w:rsid w:val="00404EA0"/>
    <w:rsid w:val="004126AF"/>
    <w:rsid w:val="00413BCC"/>
    <w:rsid w:val="00424CF9"/>
    <w:rsid w:val="00426412"/>
    <w:rsid w:val="00426991"/>
    <w:rsid w:val="004351E0"/>
    <w:rsid w:val="004354F5"/>
    <w:rsid w:val="00441E2D"/>
    <w:rsid w:val="00454117"/>
    <w:rsid w:val="0045549E"/>
    <w:rsid w:val="004569F1"/>
    <w:rsid w:val="0045753D"/>
    <w:rsid w:val="004622B5"/>
    <w:rsid w:val="004666C0"/>
    <w:rsid w:val="00472BFB"/>
    <w:rsid w:val="00475A5F"/>
    <w:rsid w:val="00483CD9"/>
    <w:rsid w:val="004857EF"/>
    <w:rsid w:val="00492542"/>
    <w:rsid w:val="00492F65"/>
    <w:rsid w:val="004933F5"/>
    <w:rsid w:val="004A02F6"/>
    <w:rsid w:val="004A35E9"/>
    <w:rsid w:val="004A4276"/>
    <w:rsid w:val="004A4A4A"/>
    <w:rsid w:val="004B1649"/>
    <w:rsid w:val="004B2842"/>
    <w:rsid w:val="004B2985"/>
    <w:rsid w:val="004C2324"/>
    <w:rsid w:val="004C2C03"/>
    <w:rsid w:val="004C39DB"/>
    <w:rsid w:val="004C5CF3"/>
    <w:rsid w:val="004C6B5F"/>
    <w:rsid w:val="004D3A74"/>
    <w:rsid w:val="004D46A7"/>
    <w:rsid w:val="004E1501"/>
    <w:rsid w:val="004E3E1C"/>
    <w:rsid w:val="004E42BD"/>
    <w:rsid w:val="004E5B9C"/>
    <w:rsid w:val="004E5BB3"/>
    <w:rsid w:val="004E68F8"/>
    <w:rsid w:val="004E6A36"/>
    <w:rsid w:val="004F203B"/>
    <w:rsid w:val="004F2C33"/>
    <w:rsid w:val="004F2C56"/>
    <w:rsid w:val="004F6CF4"/>
    <w:rsid w:val="005006DE"/>
    <w:rsid w:val="0050739F"/>
    <w:rsid w:val="00513EC2"/>
    <w:rsid w:val="00513F42"/>
    <w:rsid w:val="0052095F"/>
    <w:rsid w:val="00521530"/>
    <w:rsid w:val="00526B5D"/>
    <w:rsid w:val="005320DC"/>
    <w:rsid w:val="005353E5"/>
    <w:rsid w:val="0053620C"/>
    <w:rsid w:val="00540561"/>
    <w:rsid w:val="00541017"/>
    <w:rsid w:val="00541394"/>
    <w:rsid w:val="00543E1B"/>
    <w:rsid w:val="005472ED"/>
    <w:rsid w:val="00555FFA"/>
    <w:rsid w:val="00557D6C"/>
    <w:rsid w:val="00560B82"/>
    <w:rsid w:val="005654A9"/>
    <w:rsid w:val="005670E0"/>
    <w:rsid w:val="00571F81"/>
    <w:rsid w:val="00575988"/>
    <w:rsid w:val="00575DEF"/>
    <w:rsid w:val="00577013"/>
    <w:rsid w:val="00577AB0"/>
    <w:rsid w:val="00577B9B"/>
    <w:rsid w:val="00582375"/>
    <w:rsid w:val="00583683"/>
    <w:rsid w:val="00583932"/>
    <w:rsid w:val="005863BE"/>
    <w:rsid w:val="00594B32"/>
    <w:rsid w:val="005967CD"/>
    <w:rsid w:val="00596CD3"/>
    <w:rsid w:val="005973FC"/>
    <w:rsid w:val="005A0B04"/>
    <w:rsid w:val="005A7992"/>
    <w:rsid w:val="005B3AAD"/>
    <w:rsid w:val="005C517B"/>
    <w:rsid w:val="005C6CD0"/>
    <w:rsid w:val="005C6D97"/>
    <w:rsid w:val="005C732E"/>
    <w:rsid w:val="005D1945"/>
    <w:rsid w:val="005D245B"/>
    <w:rsid w:val="005D30DB"/>
    <w:rsid w:val="005D6132"/>
    <w:rsid w:val="005F10AF"/>
    <w:rsid w:val="005F1744"/>
    <w:rsid w:val="005F2DBF"/>
    <w:rsid w:val="005F3E4E"/>
    <w:rsid w:val="005F757D"/>
    <w:rsid w:val="00603724"/>
    <w:rsid w:val="006114BE"/>
    <w:rsid w:val="00611DCB"/>
    <w:rsid w:val="00613BD2"/>
    <w:rsid w:val="00613DC6"/>
    <w:rsid w:val="00616FC5"/>
    <w:rsid w:val="00625C03"/>
    <w:rsid w:val="00630877"/>
    <w:rsid w:val="00633E47"/>
    <w:rsid w:val="00635569"/>
    <w:rsid w:val="00646C02"/>
    <w:rsid w:val="00647700"/>
    <w:rsid w:val="006522A4"/>
    <w:rsid w:val="00653058"/>
    <w:rsid w:val="006536E5"/>
    <w:rsid w:val="006539C1"/>
    <w:rsid w:val="00657917"/>
    <w:rsid w:val="006579CE"/>
    <w:rsid w:val="00657D87"/>
    <w:rsid w:val="006616D1"/>
    <w:rsid w:val="00667008"/>
    <w:rsid w:val="00676480"/>
    <w:rsid w:val="00680258"/>
    <w:rsid w:val="006809C9"/>
    <w:rsid w:val="00684438"/>
    <w:rsid w:val="00691810"/>
    <w:rsid w:val="006937DB"/>
    <w:rsid w:val="00696D6C"/>
    <w:rsid w:val="00696E50"/>
    <w:rsid w:val="00697E02"/>
    <w:rsid w:val="006A1E0C"/>
    <w:rsid w:val="006A3D7C"/>
    <w:rsid w:val="006A7327"/>
    <w:rsid w:val="006C2BF9"/>
    <w:rsid w:val="006C71B6"/>
    <w:rsid w:val="006D1272"/>
    <w:rsid w:val="006F0625"/>
    <w:rsid w:val="006F08C7"/>
    <w:rsid w:val="0071164F"/>
    <w:rsid w:val="007117D0"/>
    <w:rsid w:val="007143E3"/>
    <w:rsid w:val="00714424"/>
    <w:rsid w:val="00715F0E"/>
    <w:rsid w:val="00717CCB"/>
    <w:rsid w:val="00724500"/>
    <w:rsid w:val="007266E6"/>
    <w:rsid w:val="00730705"/>
    <w:rsid w:val="0073119D"/>
    <w:rsid w:val="00731D65"/>
    <w:rsid w:val="007368CE"/>
    <w:rsid w:val="007409B7"/>
    <w:rsid w:val="00742871"/>
    <w:rsid w:val="007434B5"/>
    <w:rsid w:val="00743CE5"/>
    <w:rsid w:val="00743D51"/>
    <w:rsid w:val="007567DD"/>
    <w:rsid w:val="00761A2A"/>
    <w:rsid w:val="00762F69"/>
    <w:rsid w:val="007703D9"/>
    <w:rsid w:val="0077797D"/>
    <w:rsid w:val="007803EA"/>
    <w:rsid w:val="00781F80"/>
    <w:rsid w:val="00793443"/>
    <w:rsid w:val="00793FA8"/>
    <w:rsid w:val="00797D8F"/>
    <w:rsid w:val="007A37B8"/>
    <w:rsid w:val="007A7DD5"/>
    <w:rsid w:val="007B2990"/>
    <w:rsid w:val="007B2E48"/>
    <w:rsid w:val="007B3365"/>
    <w:rsid w:val="007B3F86"/>
    <w:rsid w:val="007C1686"/>
    <w:rsid w:val="007C2F71"/>
    <w:rsid w:val="007C42FE"/>
    <w:rsid w:val="007D33DB"/>
    <w:rsid w:val="007D40EF"/>
    <w:rsid w:val="007D61B8"/>
    <w:rsid w:val="007D684B"/>
    <w:rsid w:val="007D6872"/>
    <w:rsid w:val="007E2494"/>
    <w:rsid w:val="007E3690"/>
    <w:rsid w:val="007E487F"/>
    <w:rsid w:val="007F0FAA"/>
    <w:rsid w:val="007F202A"/>
    <w:rsid w:val="007F224C"/>
    <w:rsid w:val="007F3AE4"/>
    <w:rsid w:val="00802BCF"/>
    <w:rsid w:val="00813763"/>
    <w:rsid w:val="008178D4"/>
    <w:rsid w:val="008321FD"/>
    <w:rsid w:val="00835187"/>
    <w:rsid w:val="00836ED1"/>
    <w:rsid w:val="00837486"/>
    <w:rsid w:val="00841C13"/>
    <w:rsid w:val="0084298E"/>
    <w:rsid w:val="00843909"/>
    <w:rsid w:val="00846D7E"/>
    <w:rsid w:val="008516AF"/>
    <w:rsid w:val="00855043"/>
    <w:rsid w:val="00855697"/>
    <w:rsid w:val="008612A4"/>
    <w:rsid w:val="00863BF1"/>
    <w:rsid w:val="00867628"/>
    <w:rsid w:val="0087295C"/>
    <w:rsid w:val="0088030B"/>
    <w:rsid w:val="0088104D"/>
    <w:rsid w:val="0088142E"/>
    <w:rsid w:val="00881E7A"/>
    <w:rsid w:val="008948A6"/>
    <w:rsid w:val="008A4C26"/>
    <w:rsid w:val="008B1D0F"/>
    <w:rsid w:val="008B574C"/>
    <w:rsid w:val="008B676E"/>
    <w:rsid w:val="008C031D"/>
    <w:rsid w:val="008C194A"/>
    <w:rsid w:val="008D0C69"/>
    <w:rsid w:val="008D24FC"/>
    <w:rsid w:val="008D6808"/>
    <w:rsid w:val="008E0947"/>
    <w:rsid w:val="008F07D1"/>
    <w:rsid w:val="008F2D6F"/>
    <w:rsid w:val="009012D4"/>
    <w:rsid w:val="009066C9"/>
    <w:rsid w:val="00912EA5"/>
    <w:rsid w:val="00913FA3"/>
    <w:rsid w:val="00914191"/>
    <w:rsid w:val="00914DC2"/>
    <w:rsid w:val="00915679"/>
    <w:rsid w:val="00916277"/>
    <w:rsid w:val="00924B22"/>
    <w:rsid w:val="009252BE"/>
    <w:rsid w:val="00926670"/>
    <w:rsid w:val="00926E06"/>
    <w:rsid w:val="00932275"/>
    <w:rsid w:val="0093605C"/>
    <w:rsid w:val="00936B42"/>
    <w:rsid w:val="00941404"/>
    <w:rsid w:val="00951656"/>
    <w:rsid w:val="00955914"/>
    <w:rsid w:val="00955A5F"/>
    <w:rsid w:val="009564A1"/>
    <w:rsid w:val="00961290"/>
    <w:rsid w:val="009622B5"/>
    <w:rsid w:val="009651B4"/>
    <w:rsid w:val="0096699F"/>
    <w:rsid w:val="009675C7"/>
    <w:rsid w:val="00970F66"/>
    <w:rsid w:val="00980A1F"/>
    <w:rsid w:val="009820DF"/>
    <w:rsid w:val="00982457"/>
    <w:rsid w:val="009879FF"/>
    <w:rsid w:val="009935CC"/>
    <w:rsid w:val="009939EF"/>
    <w:rsid w:val="009A3146"/>
    <w:rsid w:val="009A31A6"/>
    <w:rsid w:val="009A320C"/>
    <w:rsid w:val="009A4D51"/>
    <w:rsid w:val="009B09A5"/>
    <w:rsid w:val="009B0BD5"/>
    <w:rsid w:val="009B1394"/>
    <w:rsid w:val="009B6ABB"/>
    <w:rsid w:val="009C642B"/>
    <w:rsid w:val="009D4B58"/>
    <w:rsid w:val="009D76C3"/>
    <w:rsid w:val="009D7D2A"/>
    <w:rsid w:val="009E4116"/>
    <w:rsid w:val="009F0FB7"/>
    <w:rsid w:val="009F28B5"/>
    <w:rsid w:val="009F2E7A"/>
    <w:rsid w:val="009F5386"/>
    <w:rsid w:val="009F6118"/>
    <w:rsid w:val="00A02E43"/>
    <w:rsid w:val="00A02F7D"/>
    <w:rsid w:val="00A03E2E"/>
    <w:rsid w:val="00A043C7"/>
    <w:rsid w:val="00A06B01"/>
    <w:rsid w:val="00A1495A"/>
    <w:rsid w:val="00A15720"/>
    <w:rsid w:val="00A179FB"/>
    <w:rsid w:val="00A247D1"/>
    <w:rsid w:val="00A26C0F"/>
    <w:rsid w:val="00A324AC"/>
    <w:rsid w:val="00A32D94"/>
    <w:rsid w:val="00A331C2"/>
    <w:rsid w:val="00A33FFF"/>
    <w:rsid w:val="00A359BD"/>
    <w:rsid w:val="00A35F92"/>
    <w:rsid w:val="00A40424"/>
    <w:rsid w:val="00A4282D"/>
    <w:rsid w:val="00A45E3D"/>
    <w:rsid w:val="00A505A0"/>
    <w:rsid w:val="00A51EDC"/>
    <w:rsid w:val="00A52793"/>
    <w:rsid w:val="00A567A4"/>
    <w:rsid w:val="00A63789"/>
    <w:rsid w:val="00A65BE0"/>
    <w:rsid w:val="00A7134A"/>
    <w:rsid w:val="00A74102"/>
    <w:rsid w:val="00A8039A"/>
    <w:rsid w:val="00A82399"/>
    <w:rsid w:val="00A84E9C"/>
    <w:rsid w:val="00A87B87"/>
    <w:rsid w:val="00A91E36"/>
    <w:rsid w:val="00A92A9B"/>
    <w:rsid w:val="00A9491C"/>
    <w:rsid w:val="00AA0F28"/>
    <w:rsid w:val="00AB3255"/>
    <w:rsid w:val="00AC0D1E"/>
    <w:rsid w:val="00AC14C0"/>
    <w:rsid w:val="00AC77CB"/>
    <w:rsid w:val="00AD042D"/>
    <w:rsid w:val="00AD0BD1"/>
    <w:rsid w:val="00AD1132"/>
    <w:rsid w:val="00AD3E0E"/>
    <w:rsid w:val="00AE27AB"/>
    <w:rsid w:val="00AE5641"/>
    <w:rsid w:val="00AF01FC"/>
    <w:rsid w:val="00AF129D"/>
    <w:rsid w:val="00AF7BB6"/>
    <w:rsid w:val="00B02940"/>
    <w:rsid w:val="00B06969"/>
    <w:rsid w:val="00B07CD4"/>
    <w:rsid w:val="00B153C2"/>
    <w:rsid w:val="00B16042"/>
    <w:rsid w:val="00B21856"/>
    <w:rsid w:val="00B3337E"/>
    <w:rsid w:val="00B34503"/>
    <w:rsid w:val="00B348BD"/>
    <w:rsid w:val="00B37D48"/>
    <w:rsid w:val="00B45286"/>
    <w:rsid w:val="00B459E1"/>
    <w:rsid w:val="00B5125E"/>
    <w:rsid w:val="00B51C88"/>
    <w:rsid w:val="00B53783"/>
    <w:rsid w:val="00B60021"/>
    <w:rsid w:val="00B621AB"/>
    <w:rsid w:val="00B62F92"/>
    <w:rsid w:val="00B63CA9"/>
    <w:rsid w:val="00B65F6A"/>
    <w:rsid w:val="00B6744C"/>
    <w:rsid w:val="00B71769"/>
    <w:rsid w:val="00B7332F"/>
    <w:rsid w:val="00B74D67"/>
    <w:rsid w:val="00B76741"/>
    <w:rsid w:val="00B91A32"/>
    <w:rsid w:val="00B96DCF"/>
    <w:rsid w:val="00BA06F2"/>
    <w:rsid w:val="00BA0950"/>
    <w:rsid w:val="00BA596C"/>
    <w:rsid w:val="00BB09B1"/>
    <w:rsid w:val="00BB1FC1"/>
    <w:rsid w:val="00BB3F78"/>
    <w:rsid w:val="00BC6EB8"/>
    <w:rsid w:val="00BC6F3A"/>
    <w:rsid w:val="00BD0874"/>
    <w:rsid w:val="00BD5954"/>
    <w:rsid w:val="00BE2105"/>
    <w:rsid w:val="00BE36E9"/>
    <w:rsid w:val="00BE5B8F"/>
    <w:rsid w:val="00BF01EC"/>
    <w:rsid w:val="00BF11EF"/>
    <w:rsid w:val="00BF36EB"/>
    <w:rsid w:val="00BF575C"/>
    <w:rsid w:val="00C00E10"/>
    <w:rsid w:val="00C01046"/>
    <w:rsid w:val="00C165BE"/>
    <w:rsid w:val="00C1692F"/>
    <w:rsid w:val="00C2176D"/>
    <w:rsid w:val="00C23689"/>
    <w:rsid w:val="00C40F6C"/>
    <w:rsid w:val="00C4727C"/>
    <w:rsid w:val="00C55BDF"/>
    <w:rsid w:val="00C562DE"/>
    <w:rsid w:val="00C6113B"/>
    <w:rsid w:val="00C65DA2"/>
    <w:rsid w:val="00C74616"/>
    <w:rsid w:val="00C77999"/>
    <w:rsid w:val="00C803EE"/>
    <w:rsid w:val="00C82D53"/>
    <w:rsid w:val="00C92701"/>
    <w:rsid w:val="00C934A4"/>
    <w:rsid w:val="00C9751C"/>
    <w:rsid w:val="00CA060E"/>
    <w:rsid w:val="00CA0703"/>
    <w:rsid w:val="00CA549D"/>
    <w:rsid w:val="00CB0869"/>
    <w:rsid w:val="00CB09BA"/>
    <w:rsid w:val="00CB4A3F"/>
    <w:rsid w:val="00CB4D1E"/>
    <w:rsid w:val="00CB5A87"/>
    <w:rsid w:val="00CB5CA6"/>
    <w:rsid w:val="00CC2E97"/>
    <w:rsid w:val="00CC4061"/>
    <w:rsid w:val="00CD07BC"/>
    <w:rsid w:val="00CD26E0"/>
    <w:rsid w:val="00CD3179"/>
    <w:rsid w:val="00CD57DB"/>
    <w:rsid w:val="00CE0172"/>
    <w:rsid w:val="00CE79AC"/>
    <w:rsid w:val="00CF131C"/>
    <w:rsid w:val="00CF1BB7"/>
    <w:rsid w:val="00D0155C"/>
    <w:rsid w:val="00D026C1"/>
    <w:rsid w:val="00D03F07"/>
    <w:rsid w:val="00D044EE"/>
    <w:rsid w:val="00D05C8C"/>
    <w:rsid w:val="00D06B6A"/>
    <w:rsid w:val="00D12F2C"/>
    <w:rsid w:val="00D13662"/>
    <w:rsid w:val="00D143D2"/>
    <w:rsid w:val="00D17E37"/>
    <w:rsid w:val="00D22BC9"/>
    <w:rsid w:val="00D24BFF"/>
    <w:rsid w:val="00D268C1"/>
    <w:rsid w:val="00D33FC3"/>
    <w:rsid w:val="00D409C9"/>
    <w:rsid w:val="00D41A81"/>
    <w:rsid w:val="00D43EDC"/>
    <w:rsid w:val="00D45A72"/>
    <w:rsid w:val="00D45B5F"/>
    <w:rsid w:val="00D46D2E"/>
    <w:rsid w:val="00D46F09"/>
    <w:rsid w:val="00D511ED"/>
    <w:rsid w:val="00D51FF4"/>
    <w:rsid w:val="00D530F7"/>
    <w:rsid w:val="00D55045"/>
    <w:rsid w:val="00D62461"/>
    <w:rsid w:val="00D6290D"/>
    <w:rsid w:val="00D63588"/>
    <w:rsid w:val="00D64EED"/>
    <w:rsid w:val="00D74C57"/>
    <w:rsid w:val="00D75AE5"/>
    <w:rsid w:val="00D77EFB"/>
    <w:rsid w:val="00D866C4"/>
    <w:rsid w:val="00D8751F"/>
    <w:rsid w:val="00D91CEA"/>
    <w:rsid w:val="00DA05F4"/>
    <w:rsid w:val="00DA06F4"/>
    <w:rsid w:val="00DA0FEA"/>
    <w:rsid w:val="00DA4CA6"/>
    <w:rsid w:val="00DA743B"/>
    <w:rsid w:val="00DC0AA7"/>
    <w:rsid w:val="00DD07E8"/>
    <w:rsid w:val="00DD109B"/>
    <w:rsid w:val="00DE1D25"/>
    <w:rsid w:val="00DE775E"/>
    <w:rsid w:val="00DF2969"/>
    <w:rsid w:val="00E0113F"/>
    <w:rsid w:val="00E03CBA"/>
    <w:rsid w:val="00E06554"/>
    <w:rsid w:val="00E107B1"/>
    <w:rsid w:val="00E169DF"/>
    <w:rsid w:val="00E17D1E"/>
    <w:rsid w:val="00E21A25"/>
    <w:rsid w:val="00E227CC"/>
    <w:rsid w:val="00E23143"/>
    <w:rsid w:val="00E37C6A"/>
    <w:rsid w:val="00E43B66"/>
    <w:rsid w:val="00E558E9"/>
    <w:rsid w:val="00E55F61"/>
    <w:rsid w:val="00E63998"/>
    <w:rsid w:val="00E64100"/>
    <w:rsid w:val="00E65EE9"/>
    <w:rsid w:val="00E660F0"/>
    <w:rsid w:val="00E66EB2"/>
    <w:rsid w:val="00E7077D"/>
    <w:rsid w:val="00E70BED"/>
    <w:rsid w:val="00E7692D"/>
    <w:rsid w:val="00E83FA3"/>
    <w:rsid w:val="00E874FC"/>
    <w:rsid w:val="00E91501"/>
    <w:rsid w:val="00E91F0B"/>
    <w:rsid w:val="00E93500"/>
    <w:rsid w:val="00EA1D2B"/>
    <w:rsid w:val="00EB128B"/>
    <w:rsid w:val="00EC60D2"/>
    <w:rsid w:val="00EC6EEF"/>
    <w:rsid w:val="00EC7F52"/>
    <w:rsid w:val="00ED2071"/>
    <w:rsid w:val="00ED585B"/>
    <w:rsid w:val="00EE03D7"/>
    <w:rsid w:val="00EE11BE"/>
    <w:rsid w:val="00EE6447"/>
    <w:rsid w:val="00EF30BC"/>
    <w:rsid w:val="00EF7AE7"/>
    <w:rsid w:val="00F04894"/>
    <w:rsid w:val="00F10092"/>
    <w:rsid w:val="00F11DE0"/>
    <w:rsid w:val="00F11F68"/>
    <w:rsid w:val="00F14332"/>
    <w:rsid w:val="00F214F0"/>
    <w:rsid w:val="00F22200"/>
    <w:rsid w:val="00F25901"/>
    <w:rsid w:val="00F304AB"/>
    <w:rsid w:val="00F471F6"/>
    <w:rsid w:val="00F5108B"/>
    <w:rsid w:val="00F57E20"/>
    <w:rsid w:val="00F6093C"/>
    <w:rsid w:val="00F60B71"/>
    <w:rsid w:val="00F6600B"/>
    <w:rsid w:val="00F71471"/>
    <w:rsid w:val="00F74563"/>
    <w:rsid w:val="00F748A1"/>
    <w:rsid w:val="00F846F4"/>
    <w:rsid w:val="00F84E6D"/>
    <w:rsid w:val="00F8743D"/>
    <w:rsid w:val="00F87AF6"/>
    <w:rsid w:val="00F87C6C"/>
    <w:rsid w:val="00F9236B"/>
    <w:rsid w:val="00F94780"/>
    <w:rsid w:val="00F969DC"/>
    <w:rsid w:val="00F96A33"/>
    <w:rsid w:val="00FA6CB1"/>
    <w:rsid w:val="00FA7122"/>
    <w:rsid w:val="00FA7840"/>
    <w:rsid w:val="00FA7CA2"/>
    <w:rsid w:val="00FB0E93"/>
    <w:rsid w:val="00FB11AD"/>
    <w:rsid w:val="00FB5C4D"/>
    <w:rsid w:val="00FC4AF7"/>
    <w:rsid w:val="00FC562A"/>
    <w:rsid w:val="00FC5B22"/>
    <w:rsid w:val="00FD1D92"/>
    <w:rsid w:val="00FD22C4"/>
    <w:rsid w:val="00FD282F"/>
    <w:rsid w:val="00FD3C70"/>
    <w:rsid w:val="00FD44A6"/>
    <w:rsid w:val="00FD69A1"/>
    <w:rsid w:val="00FE0048"/>
    <w:rsid w:val="00FE079C"/>
    <w:rsid w:val="00FE20DD"/>
    <w:rsid w:val="00FE3490"/>
    <w:rsid w:val="00FE537B"/>
    <w:rsid w:val="00FE6ED0"/>
    <w:rsid w:val="00FF0E12"/>
    <w:rsid w:val="00FF1189"/>
    <w:rsid w:val="00FF1CF8"/>
    <w:rsid w:val="00FF41F4"/>
    <w:rsid w:val="00FF7E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5804D3"/>
  <w15:docId w15:val="{311D8CC8-D8F3-421E-9315-8E87440C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6132"/>
    <w:rPr>
      <w:sz w:val="24"/>
      <w:szCs w:val="24"/>
    </w:rPr>
  </w:style>
  <w:style w:type="paragraph" w:styleId="Nagwek1">
    <w:name w:val="heading 1"/>
    <w:basedOn w:val="Normalny"/>
    <w:next w:val="Normalny"/>
    <w:link w:val="Nagwek1Znak"/>
    <w:uiPriority w:val="99"/>
    <w:qFormat/>
    <w:rsid w:val="00724500"/>
    <w:pPr>
      <w:keepNext/>
      <w:keepLines/>
      <w:suppressAutoHyphens/>
      <w:overflowPunct w:val="0"/>
      <w:autoSpaceDE w:val="0"/>
      <w:autoSpaceDN w:val="0"/>
      <w:adjustRightInd w:val="0"/>
      <w:spacing w:before="120" w:after="120"/>
      <w:jc w:val="both"/>
      <w:outlineLvl w:val="0"/>
    </w:pPr>
    <w:rPr>
      <w:rFonts w:ascii="Arial" w:eastAsia="Arial Unicode MS" w:hAnsi="Arial"/>
      <w:b/>
      <w:bCs/>
      <w:caps/>
      <w:kern w:val="28"/>
      <w:sz w:val="32"/>
      <w:szCs w:val="20"/>
    </w:rPr>
  </w:style>
  <w:style w:type="paragraph" w:styleId="Nagwek2">
    <w:name w:val="heading 2"/>
    <w:basedOn w:val="Normalny"/>
    <w:next w:val="Normalny"/>
    <w:link w:val="Nagwek2Znak"/>
    <w:uiPriority w:val="99"/>
    <w:qFormat/>
    <w:rsid w:val="00724500"/>
    <w:pPr>
      <w:keepNext/>
      <w:overflowPunct w:val="0"/>
      <w:autoSpaceDE w:val="0"/>
      <w:autoSpaceDN w:val="0"/>
      <w:adjustRightInd w:val="0"/>
      <w:spacing w:before="120" w:after="120"/>
      <w:jc w:val="both"/>
      <w:outlineLvl w:val="1"/>
    </w:pPr>
    <w:rPr>
      <w:rFonts w:ascii="Arial" w:eastAsia="Arial Unicode MS" w:hAnsi="Arial"/>
      <w:b/>
      <w:bCs/>
      <w:sz w:val="28"/>
      <w:szCs w:val="20"/>
    </w:rPr>
  </w:style>
  <w:style w:type="paragraph" w:styleId="Nagwek3">
    <w:name w:val="heading 3"/>
    <w:basedOn w:val="Normalny"/>
    <w:next w:val="Normalny"/>
    <w:link w:val="Nagwek3Znak"/>
    <w:uiPriority w:val="99"/>
    <w:qFormat/>
    <w:rsid w:val="00724500"/>
    <w:pPr>
      <w:keepNext/>
      <w:overflowPunct w:val="0"/>
      <w:autoSpaceDE w:val="0"/>
      <w:autoSpaceDN w:val="0"/>
      <w:adjustRightInd w:val="0"/>
      <w:jc w:val="both"/>
      <w:outlineLvl w:val="2"/>
    </w:pPr>
    <w:rPr>
      <w:rFonts w:ascii="Arial" w:hAnsi="Arial"/>
      <w:b/>
      <w:bCs/>
      <w:szCs w:val="20"/>
    </w:rPr>
  </w:style>
  <w:style w:type="paragraph" w:styleId="Nagwek4">
    <w:name w:val="heading 4"/>
    <w:basedOn w:val="Normalny"/>
    <w:next w:val="Normalny"/>
    <w:link w:val="Nagwek4Znak"/>
    <w:uiPriority w:val="99"/>
    <w:qFormat/>
    <w:rsid w:val="00A74102"/>
    <w:pPr>
      <w:keepNext/>
      <w:spacing w:before="240" w:after="60"/>
      <w:outlineLvl w:val="3"/>
    </w:pPr>
    <w:rPr>
      <w:b/>
      <w:bCs/>
      <w:sz w:val="28"/>
      <w:szCs w:val="28"/>
    </w:rPr>
  </w:style>
  <w:style w:type="paragraph" w:styleId="Nagwek5">
    <w:name w:val="heading 5"/>
    <w:basedOn w:val="Normalny"/>
    <w:next w:val="Normalny"/>
    <w:link w:val="Nagwek5Znak"/>
    <w:uiPriority w:val="99"/>
    <w:qFormat/>
    <w:rsid w:val="00A74102"/>
    <w:pPr>
      <w:spacing w:before="240" w:after="60"/>
      <w:outlineLvl w:val="4"/>
    </w:pPr>
    <w:rPr>
      <w:b/>
      <w:bCs/>
      <w:i/>
      <w:iCs/>
      <w:sz w:val="26"/>
      <w:szCs w:val="26"/>
    </w:rPr>
  </w:style>
  <w:style w:type="paragraph" w:styleId="Nagwek6">
    <w:name w:val="heading 6"/>
    <w:basedOn w:val="Normalny"/>
    <w:next w:val="Normalny"/>
    <w:link w:val="Nagwek6Znak"/>
    <w:uiPriority w:val="99"/>
    <w:qFormat/>
    <w:rsid w:val="00A74102"/>
    <w:pPr>
      <w:spacing w:before="240" w:after="60"/>
      <w:outlineLvl w:val="5"/>
    </w:pPr>
    <w:rPr>
      <w:b/>
      <w:bCs/>
      <w:sz w:val="22"/>
      <w:szCs w:val="22"/>
    </w:rPr>
  </w:style>
  <w:style w:type="paragraph" w:styleId="Nagwek7">
    <w:name w:val="heading 7"/>
    <w:basedOn w:val="Normalny"/>
    <w:next w:val="Normalny"/>
    <w:link w:val="Nagwek7Znak"/>
    <w:uiPriority w:val="99"/>
    <w:qFormat/>
    <w:rsid w:val="00A74102"/>
    <w:pPr>
      <w:spacing w:before="240" w:after="60"/>
      <w:outlineLvl w:val="6"/>
    </w:pPr>
  </w:style>
  <w:style w:type="paragraph" w:styleId="Nagwek8">
    <w:name w:val="heading 8"/>
    <w:basedOn w:val="Normalny"/>
    <w:next w:val="Normalny"/>
    <w:link w:val="Nagwek8Znak"/>
    <w:uiPriority w:val="99"/>
    <w:qFormat/>
    <w:rsid w:val="00A74102"/>
    <w:pPr>
      <w:spacing w:before="240" w:after="60"/>
      <w:outlineLvl w:val="7"/>
    </w:pPr>
    <w:rPr>
      <w:i/>
      <w:iCs/>
    </w:rPr>
  </w:style>
  <w:style w:type="paragraph" w:styleId="Nagwek9">
    <w:name w:val="heading 9"/>
    <w:basedOn w:val="Normalny"/>
    <w:next w:val="Normalny"/>
    <w:link w:val="Nagwek9Znak"/>
    <w:uiPriority w:val="99"/>
    <w:qFormat/>
    <w:rsid w:val="00A74102"/>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D268C1"/>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D268C1"/>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D268C1"/>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D268C1"/>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D268C1"/>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D268C1"/>
    <w:rPr>
      <w:rFonts w:ascii="Calibri" w:hAnsi="Calibri" w:cs="Times New Roman"/>
      <w:b/>
      <w:bCs/>
    </w:rPr>
  </w:style>
  <w:style w:type="character" w:customStyle="1" w:styleId="Nagwek7Znak">
    <w:name w:val="Nagłówek 7 Znak"/>
    <w:basedOn w:val="Domylnaczcionkaakapitu"/>
    <w:link w:val="Nagwek7"/>
    <w:uiPriority w:val="99"/>
    <w:semiHidden/>
    <w:locked/>
    <w:rsid w:val="00D268C1"/>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D268C1"/>
    <w:rPr>
      <w:rFonts w:ascii="Calibri" w:hAnsi="Calibri" w:cs="Times New Roman"/>
      <w:i/>
      <w:iCs/>
      <w:sz w:val="24"/>
      <w:szCs w:val="24"/>
    </w:rPr>
  </w:style>
  <w:style w:type="character" w:customStyle="1" w:styleId="Nagwek9Znak">
    <w:name w:val="Nagłówek 9 Znak"/>
    <w:basedOn w:val="Domylnaczcionkaakapitu"/>
    <w:link w:val="Nagwek9"/>
    <w:uiPriority w:val="99"/>
    <w:semiHidden/>
    <w:locked/>
    <w:rsid w:val="00D268C1"/>
    <w:rPr>
      <w:rFonts w:ascii="Cambria" w:hAnsi="Cambria" w:cs="Times New Roman"/>
    </w:rPr>
  </w:style>
  <w:style w:type="paragraph" w:styleId="Tekstpodstawowywcity">
    <w:name w:val="Body Text Indent"/>
    <w:basedOn w:val="Normalny"/>
    <w:link w:val="TekstpodstawowywcityZnak"/>
    <w:uiPriority w:val="99"/>
    <w:rsid w:val="005D6132"/>
    <w:pPr>
      <w:ind w:left="567"/>
    </w:pPr>
    <w:rPr>
      <w:szCs w:val="20"/>
    </w:rPr>
  </w:style>
  <w:style w:type="character" w:customStyle="1" w:styleId="TekstpodstawowywcityZnak">
    <w:name w:val="Tekst podstawowy wcięty Znak"/>
    <w:basedOn w:val="Domylnaczcionkaakapitu"/>
    <w:link w:val="Tekstpodstawowywcity"/>
    <w:uiPriority w:val="99"/>
    <w:semiHidden/>
    <w:locked/>
    <w:rsid w:val="00D268C1"/>
    <w:rPr>
      <w:rFonts w:cs="Times New Roman"/>
      <w:sz w:val="24"/>
      <w:szCs w:val="24"/>
    </w:rPr>
  </w:style>
  <w:style w:type="paragraph" w:styleId="Tekstpodstawowy2">
    <w:name w:val="Body Text 2"/>
    <w:basedOn w:val="Normalny"/>
    <w:link w:val="Tekstpodstawowy2Znak"/>
    <w:uiPriority w:val="99"/>
    <w:rsid w:val="005D6132"/>
    <w:pPr>
      <w:overflowPunct w:val="0"/>
      <w:autoSpaceDE w:val="0"/>
      <w:autoSpaceDN w:val="0"/>
      <w:adjustRightInd w:val="0"/>
      <w:jc w:val="center"/>
    </w:pPr>
    <w:rPr>
      <w:b/>
      <w:sz w:val="36"/>
      <w:szCs w:val="20"/>
    </w:rPr>
  </w:style>
  <w:style w:type="character" w:customStyle="1" w:styleId="Tekstpodstawowy2Znak">
    <w:name w:val="Tekst podstawowy 2 Znak"/>
    <w:basedOn w:val="Domylnaczcionkaakapitu"/>
    <w:link w:val="Tekstpodstawowy2"/>
    <w:uiPriority w:val="99"/>
    <w:semiHidden/>
    <w:locked/>
    <w:rsid w:val="00D268C1"/>
    <w:rPr>
      <w:rFonts w:cs="Times New Roman"/>
      <w:sz w:val="24"/>
      <w:szCs w:val="24"/>
    </w:rPr>
  </w:style>
  <w:style w:type="paragraph" w:customStyle="1" w:styleId="StylIwony">
    <w:name w:val="Styl Iwony"/>
    <w:basedOn w:val="Normalny"/>
    <w:uiPriority w:val="99"/>
    <w:rsid w:val="005D6132"/>
    <w:pPr>
      <w:overflowPunct w:val="0"/>
      <w:autoSpaceDE w:val="0"/>
      <w:autoSpaceDN w:val="0"/>
      <w:adjustRightInd w:val="0"/>
      <w:spacing w:before="120" w:after="120"/>
      <w:jc w:val="both"/>
    </w:pPr>
    <w:rPr>
      <w:rFonts w:ascii="Bookman Old Style" w:hAnsi="Bookman Old Style"/>
    </w:rPr>
  </w:style>
  <w:style w:type="paragraph" w:customStyle="1" w:styleId="Standardowytekst">
    <w:name w:val="Standardowy.tekst"/>
    <w:uiPriority w:val="99"/>
    <w:rsid w:val="005D6132"/>
    <w:pPr>
      <w:overflowPunct w:val="0"/>
      <w:autoSpaceDE w:val="0"/>
      <w:autoSpaceDN w:val="0"/>
      <w:adjustRightInd w:val="0"/>
      <w:jc w:val="both"/>
    </w:pPr>
    <w:rPr>
      <w:sz w:val="20"/>
      <w:szCs w:val="20"/>
    </w:rPr>
  </w:style>
  <w:style w:type="paragraph" w:styleId="Tekstpodstawowywcity2">
    <w:name w:val="Body Text Indent 2"/>
    <w:basedOn w:val="Normalny"/>
    <w:link w:val="Tekstpodstawowywcity2Znak"/>
    <w:uiPriority w:val="99"/>
    <w:rsid w:val="005D6132"/>
    <w:pPr>
      <w:overflowPunct w:val="0"/>
      <w:autoSpaceDE w:val="0"/>
      <w:autoSpaceDN w:val="0"/>
      <w:adjustRightInd w:val="0"/>
      <w:ind w:left="426" w:firstLine="426"/>
      <w:jc w:val="both"/>
    </w:pPr>
  </w:style>
  <w:style w:type="character" w:customStyle="1" w:styleId="Tekstpodstawowywcity2Znak">
    <w:name w:val="Tekst podstawowy wcięty 2 Znak"/>
    <w:basedOn w:val="Domylnaczcionkaakapitu"/>
    <w:link w:val="Tekstpodstawowywcity2"/>
    <w:uiPriority w:val="99"/>
    <w:semiHidden/>
    <w:locked/>
    <w:rsid w:val="00D268C1"/>
    <w:rPr>
      <w:rFonts w:cs="Times New Roman"/>
      <w:sz w:val="24"/>
      <w:szCs w:val="24"/>
    </w:rPr>
  </w:style>
  <w:style w:type="paragraph" w:styleId="Tekstpodstawowy3">
    <w:name w:val="Body Text 3"/>
    <w:basedOn w:val="Normalny"/>
    <w:link w:val="Tekstpodstawowy3Znak"/>
    <w:uiPriority w:val="99"/>
    <w:rsid w:val="005D6132"/>
    <w:pPr>
      <w:overflowPunct w:val="0"/>
      <w:autoSpaceDE w:val="0"/>
      <w:autoSpaceDN w:val="0"/>
      <w:adjustRightInd w:val="0"/>
      <w:jc w:val="both"/>
    </w:pPr>
    <w:rPr>
      <w:u w:val="single"/>
    </w:rPr>
  </w:style>
  <w:style w:type="character" w:customStyle="1" w:styleId="Tekstpodstawowy3Znak">
    <w:name w:val="Tekst podstawowy 3 Znak"/>
    <w:basedOn w:val="Domylnaczcionkaakapitu"/>
    <w:link w:val="Tekstpodstawowy3"/>
    <w:uiPriority w:val="99"/>
    <w:semiHidden/>
    <w:locked/>
    <w:rsid w:val="00D268C1"/>
    <w:rPr>
      <w:rFonts w:cs="Times New Roman"/>
      <w:sz w:val="16"/>
      <w:szCs w:val="16"/>
    </w:rPr>
  </w:style>
  <w:style w:type="paragraph" w:styleId="Nagwek">
    <w:name w:val="header"/>
    <w:basedOn w:val="Normalny"/>
    <w:link w:val="NagwekZnak"/>
    <w:uiPriority w:val="99"/>
    <w:rsid w:val="005D6132"/>
    <w:pPr>
      <w:tabs>
        <w:tab w:val="center" w:pos="4536"/>
        <w:tab w:val="right" w:pos="9072"/>
      </w:tabs>
    </w:pPr>
  </w:style>
  <w:style w:type="character" w:customStyle="1" w:styleId="NagwekZnak">
    <w:name w:val="Nagłówek Znak"/>
    <w:basedOn w:val="Domylnaczcionkaakapitu"/>
    <w:link w:val="Nagwek"/>
    <w:uiPriority w:val="99"/>
    <w:semiHidden/>
    <w:locked/>
    <w:rsid w:val="00D268C1"/>
    <w:rPr>
      <w:rFonts w:cs="Times New Roman"/>
      <w:sz w:val="24"/>
      <w:szCs w:val="24"/>
    </w:rPr>
  </w:style>
  <w:style w:type="paragraph" w:styleId="Stopka">
    <w:name w:val="footer"/>
    <w:basedOn w:val="Normalny"/>
    <w:link w:val="StopkaZnak"/>
    <w:uiPriority w:val="99"/>
    <w:rsid w:val="005D6132"/>
    <w:pPr>
      <w:tabs>
        <w:tab w:val="center" w:pos="4536"/>
        <w:tab w:val="right" w:pos="9072"/>
      </w:tabs>
    </w:pPr>
  </w:style>
  <w:style w:type="character" w:customStyle="1" w:styleId="StopkaZnak">
    <w:name w:val="Stopka Znak"/>
    <w:basedOn w:val="Domylnaczcionkaakapitu"/>
    <w:link w:val="Stopka"/>
    <w:uiPriority w:val="99"/>
    <w:semiHidden/>
    <w:locked/>
    <w:rsid w:val="00D268C1"/>
    <w:rPr>
      <w:rFonts w:cs="Times New Roman"/>
      <w:sz w:val="24"/>
      <w:szCs w:val="24"/>
    </w:rPr>
  </w:style>
  <w:style w:type="character" w:styleId="Numerstrony">
    <w:name w:val="page number"/>
    <w:basedOn w:val="Domylnaczcionkaakapitu"/>
    <w:uiPriority w:val="99"/>
    <w:rsid w:val="005D6132"/>
    <w:rPr>
      <w:rFonts w:cs="Times New Roman"/>
    </w:rPr>
  </w:style>
  <w:style w:type="paragraph" w:styleId="Listapunktowana2">
    <w:name w:val="List Bullet 2"/>
    <w:basedOn w:val="Normalny"/>
    <w:uiPriority w:val="99"/>
    <w:rsid w:val="00C82D53"/>
    <w:pPr>
      <w:numPr>
        <w:numId w:val="1"/>
      </w:numPr>
      <w:tabs>
        <w:tab w:val="num" w:pos="562"/>
      </w:tabs>
      <w:spacing w:before="120"/>
      <w:jc w:val="both"/>
    </w:pPr>
    <w:rPr>
      <w:rFonts w:ascii="Arial" w:hAnsi="Arial"/>
      <w:lang w:val="fr-FR" w:eastAsia="fr-FR"/>
    </w:rPr>
  </w:style>
  <w:style w:type="paragraph" w:styleId="Tekstdymka">
    <w:name w:val="Balloon Text"/>
    <w:basedOn w:val="Normalny"/>
    <w:link w:val="TekstdymkaZnak"/>
    <w:uiPriority w:val="99"/>
    <w:semiHidden/>
    <w:rsid w:val="00657917"/>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D268C1"/>
    <w:rPr>
      <w:rFonts w:cs="Times New Roman"/>
      <w:sz w:val="2"/>
    </w:rPr>
  </w:style>
  <w:style w:type="paragraph" w:customStyle="1" w:styleId="HNumber">
    <w:name w:val="H Number"/>
    <w:basedOn w:val="Normalny"/>
    <w:uiPriority w:val="99"/>
    <w:rsid w:val="002718A7"/>
    <w:pPr>
      <w:spacing w:before="120"/>
      <w:ind w:left="851" w:hanging="851"/>
      <w:jc w:val="both"/>
    </w:pPr>
    <w:rPr>
      <w:sz w:val="20"/>
      <w:szCs w:val="20"/>
      <w:lang w:val="en-GB" w:eastAsia="en-US"/>
    </w:rPr>
  </w:style>
  <w:style w:type="paragraph" w:styleId="Akapitzlist">
    <w:name w:val="List Paragraph"/>
    <w:basedOn w:val="Normalny"/>
    <w:uiPriority w:val="99"/>
    <w:qFormat/>
    <w:rsid w:val="00380FF0"/>
    <w:pPr>
      <w:ind w:left="708"/>
    </w:pPr>
  </w:style>
  <w:style w:type="paragraph" w:customStyle="1" w:styleId="spcial">
    <w:name w:val="spécial"/>
    <w:basedOn w:val="Normalny"/>
    <w:uiPriority w:val="99"/>
    <w:rsid w:val="00684438"/>
    <w:pPr>
      <w:spacing w:before="120"/>
      <w:jc w:val="both"/>
    </w:pPr>
    <w:rPr>
      <w:rFonts w:ascii="Arial Narrow" w:hAnsi="Arial Narrow"/>
      <w:noProof/>
      <w:szCs w:val="20"/>
      <w:lang w:val="fr-FR" w:eastAsia="fr-FR"/>
    </w:rPr>
  </w:style>
  <w:style w:type="table" w:styleId="Tabela-Siatka">
    <w:name w:val="Table Grid"/>
    <w:basedOn w:val="Standardowy"/>
    <w:uiPriority w:val="99"/>
    <w:rsid w:val="00C9270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583932"/>
    <w:rPr>
      <w:rFonts w:cs="Times New Roman"/>
      <w:sz w:val="16"/>
      <w:szCs w:val="16"/>
    </w:rPr>
  </w:style>
  <w:style w:type="paragraph" w:styleId="Tekstkomentarza">
    <w:name w:val="annotation text"/>
    <w:basedOn w:val="Normalny"/>
    <w:link w:val="TekstkomentarzaZnak"/>
    <w:uiPriority w:val="99"/>
    <w:rsid w:val="00583932"/>
    <w:rPr>
      <w:sz w:val="20"/>
      <w:szCs w:val="20"/>
    </w:rPr>
  </w:style>
  <w:style w:type="character" w:customStyle="1" w:styleId="TekstkomentarzaZnak">
    <w:name w:val="Tekst komentarza Znak"/>
    <w:basedOn w:val="Domylnaczcionkaakapitu"/>
    <w:link w:val="Tekstkomentarza"/>
    <w:uiPriority w:val="99"/>
    <w:locked/>
    <w:rsid w:val="00583932"/>
    <w:rPr>
      <w:rFonts w:cs="Times New Roman"/>
    </w:rPr>
  </w:style>
  <w:style w:type="paragraph" w:styleId="Tematkomentarza">
    <w:name w:val="annotation subject"/>
    <w:basedOn w:val="Tekstkomentarza"/>
    <w:next w:val="Tekstkomentarza"/>
    <w:link w:val="TematkomentarzaZnak"/>
    <w:uiPriority w:val="99"/>
    <w:rsid w:val="00583932"/>
    <w:rPr>
      <w:b/>
      <w:bCs/>
    </w:rPr>
  </w:style>
  <w:style w:type="character" w:customStyle="1" w:styleId="TematkomentarzaZnak">
    <w:name w:val="Temat komentarza Znak"/>
    <w:basedOn w:val="TekstkomentarzaZnak"/>
    <w:link w:val="Tematkomentarza"/>
    <w:uiPriority w:val="99"/>
    <w:locked/>
    <w:rsid w:val="00583932"/>
    <w:rPr>
      <w:rFonts w:cs="Times New Roman"/>
      <w:b/>
      <w:bCs/>
    </w:rPr>
  </w:style>
  <w:style w:type="character" w:customStyle="1" w:styleId="CharStyle5">
    <w:name w:val="Char Style 5"/>
    <w:basedOn w:val="Domylnaczcionkaakapitu"/>
    <w:link w:val="Style4"/>
    <w:uiPriority w:val="99"/>
    <w:locked/>
    <w:rsid w:val="0045549E"/>
    <w:rPr>
      <w:rFonts w:ascii="Arial" w:hAnsi="Arial" w:cs="Times New Roman"/>
      <w:spacing w:val="1"/>
      <w:shd w:val="clear" w:color="auto" w:fill="FFFFFF"/>
      <w:lang w:bidi="ar-SA"/>
    </w:rPr>
  </w:style>
  <w:style w:type="paragraph" w:customStyle="1" w:styleId="Style4">
    <w:name w:val="Style 4"/>
    <w:basedOn w:val="Normalny"/>
    <w:link w:val="CharStyle5"/>
    <w:uiPriority w:val="99"/>
    <w:rsid w:val="0045549E"/>
    <w:pPr>
      <w:widowControl w:val="0"/>
      <w:shd w:val="clear" w:color="auto" w:fill="FFFFFF"/>
      <w:spacing w:line="240" w:lineRule="atLeast"/>
      <w:ind w:hanging="420"/>
    </w:pPr>
    <w:rPr>
      <w:rFonts w:ascii="Arial" w:hAnsi="Arial"/>
      <w:noProof/>
      <w:spacing w:val="1"/>
      <w:sz w:val="20"/>
      <w:szCs w:val="20"/>
      <w:shd w:val="clear" w:color="auto" w:fill="FFFFFF"/>
    </w:rPr>
  </w:style>
  <w:style w:type="numbering" w:customStyle="1" w:styleId="StylKonspektynumerowanePodkrelenie">
    <w:name w:val="Styl Konspekty numerowane Podkreślenie"/>
    <w:rsid w:val="00BA1276"/>
    <w:pPr>
      <w:numPr>
        <w:numId w:val="5"/>
      </w:numPr>
    </w:pPr>
  </w:style>
  <w:style w:type="paragraph" w:customStyle="1" w:styleId="Style3">
    <w:name w:val="Style3"/>
    <w:basedOn w:val="Normalny"/>
    <w:uiPriority w:val="99"/>
    <w:rsid w:val="00E91F0B"/>
    <w:pPr>
      <w:widowControl w:val="0"/>
      <w:autoSpaceDE w:val="0"/>
      <w:autoSpaceDN w:val="0"/>
      <w:adjustRightInd w:val="0"/>
      <w:spacing w:line="490" w:lineRule="exact"/>
      <w:jc w:val="center"/>
    </w:pPr>
    <w:rPr>
      <w:rFonts w:ascii="Calibri" w:hAnsi="Calibri"/>
    </w:rPr>
  </w:style>
  <w:style w:type="character" w:customStyle="1" w:styleId="FontStyle22">
    <w:name w:val="Font Style22"/>
    <w:uiPriority w:val="99"/>
    <w:rsid w:val="00E91F0B"/>
    <w:rPr>
      <w:rFonts w:ascii="Arial" w:hAnsi="Arial" w:cs="Arial"/>
      <w:b/>
      <w:bCs/>
      <w:sz w:val="34"/>
      <w:szCs w:val="34"/>
    </w:rPr>
  </w:style>
  <w:style w:type="character" w:customStyle="1" w:styleId="FontStyle27">
    <w:name w:val="Font Style27"/>
    <w:uiPriority w:val="99"/>
    <w:rsid w:val="00E91F0B"/>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1633965">
      <w:bodyDiv w:val="1"/>
      <w:marLeft w:val="0"/>
      <w:marRight w:val="0"/>
      <w:marTop w:val="0"/>
      <w:marBottom w:val="0"/>
      <w:divBdr>
        <w:top w:val="none" w:sz="0" w:space="0" w:color="auto"/>
        <w:left w:val="none" w:sz="0" w:space="0" w:color="auto"/>
        <w:bottom w:val="none" w:sz="0" w:space="0" w:color="auto"/>
        <w:right w:val="none" w:sz="0" w:space="0" w:color="auto"/>
      </w:divBdr>
      <w:divsChild>
        <w:div w:id="704718662">
          <w:marLeft w:val="0"/>
          <w:marRight w:val="0"/>
          <w:marTop w:val="0"/>
          <w:marBottom w:val="0"/>
          <w:divBdr>
            <w:top w:val="none" w:sz="0" w:space="0" w:color="auto"/>
            <w:left w:val="none" w:sz="0" w:space="0" w:color="auto"/>
            <w:bottom w:val="none" w:sz="0" w:space="0" w:color="auto"/>
            <w:right w:val="none" w:sz="0" w:space="0" w:color="auto"/>
          </w:divBdr>
        </w:div>
        <w:div w:id="933854443">
          <w:marLeft w:val="0"/>
          <w:marRight w:val="0"/>
          <w:marTop w:val="0"/>
          <w:marBottom w:val="0"/>
          <w:divBdr>
            <w:top w:val="none" w:sz="0" w:space="0" w:color="auto"/>
            <w:left w:val="none" w:sz="0" w:space="0" w:color="auto"/>
            <w:bottom w:val="none" w:sz="0" w:space="0" w:color="auto"/>
            <w:right w:val="none" w:sz="0" w:space="0" w:color="auto"/>
          </w:divBdr>
        </w:div>
        <w:div w:id="1727988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aloni\Desktop\SPECYFIKACJA%20TECHNICZNA%20CMC-VD%202010.03.04R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SPECYFIKACJA TECHNICZNA CMC-VD 2010.03.04R1</Template>
  <TotalTime>145</TotalTime>
  <Pages>8</Pages>
  <Words>2266</Words>
  <Characters>13602</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SPECYFIKACJA TECHNICZNA</vt:lpstr>
    </vt:vector>
  </TitlesOfParts>
  <Company>home</Company>
  <LinksUpToDate>false</LinksUpToDate>
  <CharactersWithSpaces>15837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creator>Jakub Saloni</dc:creator>
  <cp:lastModifiedBy>BINDER Krystian</cp:lastModifiedBy>
  <cp:revision>11</cp:revision>
  <cp:lastPrinted>2012-01-23T11:34:00Z</cp:lastPrinted>
  <dcterms:created xsi:type="dcterms:W3CDTF">2016-03-18T20:03:00Z</dcterms:created>
  <dcterms:modified xsi:type="dcterms:W3CDTF">2022-05-06T10:07:00Z</dcterms:modified>
</cp:coreProperties>
</file>